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6448" w:rsidRPr="00A06448" w:rsidRDefault="00A06448" w:rsidP="00A06448">
      <w:pPr>
        <w:pStyle w:val="SRNadpisseitu"/>
        <w:spacing w:before="0"/>
        <w:jc w:val="left"/>
        <w:rPr>
          <w:b w:val="0"/>
          <w:sz w:val="20"/>
          <w:szCs w:val="20"/>
        </w:rPr>
      </w:pPr>
      <w:r w:rsidRPr="00A06448">
        <w:rPr>
          <w:b w:val="0"/>
          <w:sz w:val="20"/>
          <w:szCs w:val="20"/>
        </w:rPr>
        <w:t>Ministerstvo financí</w:t>
      </w:r>
    </w:p>
    <w:p w:rsidR="00A06448" w:rsidRPr="00A06448" w:rsidRDefault="00A06448" w:rsidP="00A06448">
      <w:pPr>
        <w:pStyle w:val="SRNadpisseitu"/>
        <w:spacing w:before="0"/>
        <w:jc w:val="left"/>
        <w:rPr>
          <w:b w:val="0"/>
          <w:sz w:val="20"/>
          <w:szCs w:val="20"/>
        </w:rPr>
      </w:pPr>
      <w:r w:rsidRPr="00A06448">
        <w:rPr>
          <w:b w:val="0"/>
          <w:sz w:val="20"/>
          <w:szCs w:val="20"/>
        </w:rPr>
        <w:t>č. j. MF – 17534/2024-2104-04</w:t>
      </w:r>
    </w:p>
    <w:p w:rsidR="00A06448" w:rsidRDefault="00A06448" w:rsidP="00FB23C2">
      <w:pPr>
        <w:pStyle w:val="SRNadpisseitu"/>
      </w:pPr>
      <w:r>
        <w:t>E.</w:t>
      </w:r>
    </w:p>
    <w:p w:rsidR="00A06448" w:rsidRDefault="00A06448" w:rsidP="00A06448">
      <w:pPr>
        <w:pStyle w:val="SRNadpisseitu"/>
        <w:spacing w:before="300"/>
      </w:pPr>
    </w:p>
    <w:p w:rsidR="002B367F" w:rsidRPr="005A7B7B" w:rsidRDefault="0016405E" w:rsidP="00A06448">
      <w:pPr>
        <w:pStyle w:val="SRNadpisseitu"/>
        <w:spacing w:before="300"/>
        <w:sectPr w:rsidR="002B367F" w:rsidRPr="005A7B7B" w:rsidSect="00187B06">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709" w:footer="709" w:gutter="0"/>
          <w:pgNumType w:start="0"/>
          <w:cols w:space="708"/>
          <w:titlePg/>
          <w:docGrid w:linePitch="360"/>
        </w:sectPr>
      </w:pPr>
      <w:r w:rsidRPr="005A7B7B">
        <w:t>Zpráva k</w:t>
      </w:r>
      <w:r w:rsidR="00F503AC" w:rsidRPr="005A7B7B">
        <w:t> návrhu zákona</w:t>
      </w:r>
      <w:r w:rsidR="00250716" w:rsidRPr="005A7B7B">
        <w:t xml:space="preserve"> o </w:t>
      </w:r>
      <w:r w:rsidRPr="005A7B7B">
        <w:t>státním rozpočtu České republiky na rok 20</w:t>
      </w:r>
      <w:r w:rsidR="00EE36F6" w:rsidRPr="005A7B7B">
        <w:t>2</w:t>
      </w:r>
      <w:r w:rsidR="00F503AC" w:rsidRPr="005A7B7B">
        <w:t>5</w:t>
      </w:r>
    </w:p>
    <w:p w:rsidR="00A95EDA" w:rsidRPr="005A7B7B" w:rsidRDefault="00A95EDA" w:rsidP="00FB23C2">
      <w:pPr>
        <w:pStyle w:val="SRNadpisseitu"/>
        <w:rPr>
          <w:sz w:val="24"/>
        </w:rPr>
      </w:pPr>
    </w:p>
    <w:p w:rsidR="00601622" w:rsidRPr="005A7B7B" w:rsidRDefault="00601622" w:rsidP="00601622">
      <w:pPr>
        <w:pStyle w:val="SRNadpismal"/>
      </w:pPr>
      <w:bookmarkStart w:id="0" w:name="_Toc175913862"/>
      <w:r w:rsidRPr="005A7B7B">
        <w:lastRenderedPageBreak/>
        <w:t>Obsah</w:t>
      </w:r>
      <w:bookmarkEnd w:id="0"/>
    </w:p>
    <w:p w:rsidR="00597ADA" w:rsidRDefault="00601622">
      <w:pPr>
        <w:pStyle w:val="Obsah1"/>
        <w:rPr>
          <w:rFonts w:asciiTheme="minorHAnsi" w:eastAsiaTheme="minorEastAsia" w:hAnsiTheme="minorHAnsi" w:cstheme="minorBidi"/>
          <w:b w:val="0"/>
          <w:sz w:val="22"/>
          <w:szCs w:val="22"/>
        </w:rPr>
      </w:pPr>
      <w:r w:rsidRPr="005A7B7B">
        <w:fldChar w:fldCharType="begin"/>
      </w:r>
      <w:r w:rsidRPr="005A7B7B">
        <w:instrText xml:space="preserve"> TOC \f \h \z \t "SR_Nadpis malý;1;SR_Nadpis 1;1;SR_Nadpis 2;2;SR_Nadpis 3;3" </w:instrText>
      </w:r>
      <w:r w:rsidRPr="005A7B7B">
        <w:fldChar w:fldCharType="separate"/>
      </w:r>
      <w:hyperlink w:anchor="_Toc175913862" w:history="1">
        <w:r w:rsidR="00597ADA" w:rsidRPr="001A79D3">
          <w:rPr>
            <w:rStyle w:val="Hypertextovodkaz"/>
          </w:rPr>
          <w:t>Obsah</w:t>
        </w:r>
        <w:r w:rsidR="00597ADA">
          <w:rPr>
            <w:webHidden/>
          </w:rPr>
          <w:tab/>
        </w:r>
        <w:r w:rsidR="00597ADA">
          <w:rPr>
            <w:webHidden/>
          </w:rPr>
          <w:fldChar w:fldCharType="begin"/>
        </w:r>
        <w:r w:rsidR="00597ADA">
          <w:rPr>
            <w:webHidden/>
          </w:rPr>
          <w:instrText xml:space="preserve"> PAGEREF _Toc175913862 \h </w:instrText>
        </w:r>
        <w:r w:rsidR="00597ADA">
          <w:rPr>
            <w:webHidden/>
          </w:rPr>
        </w:r>
        <w:r w:rsidR="00597ADA">
          <w:rPr>
            <w:webHidden/>
          </w:rPr>
          <w:fldChar w:fldCharType="separate"/>
        </w:r>
        <w:r w:rsidR="00597ADA">
          <w:rPr>
            <w:webHidden/>
          </w:rPr>
          <w:t>2</w:t>
        </w:r>
        <w:r w:rsidR="00597ADA">
          <w:rPr>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63" w:history="1">
        <w:r w:rsidRPr="001A79D3">
          <w:rPr>
            <w:rStyle w:val="Hypertextovodkaz"/>
          </w:rPr>
          <w:t>Seznam tabulek</w:t>
        </w:r>
        <w:r>
          <w:rPr>
            <w:webHidden/>
          </w:rPr>
          <w:tab/>
        </w:r>
        <w:r>
          <w:rPr>
            <w:webHidden/>
          </w:rPr>
          <w:fldChar w:fldCharType="begin"/>
        </w:r>
        <w:r>
          <w:rPr>
            <w:webHidden/>
          </w:rPr>
          <w:instrText xml:space="preserve"> PAGEREF _Toc175913863 \h </w:instrText>
        </w:r>
        <w:r>
          <w:rPr>
            <w:webHidden/>
          </w:rPr>
        </w:r>
        <w:r>
          <w:rPr>
            <w:webHidden/>
          </w:rPr>
          <w:fldChar w:fldCharType="separate"/>
        </w:r>
        <w:r>
          <w:rPr>
            <w:webHidden/>
          </w:rPr>
          <w:t>4</w:t>
        </w:r>
        <w:r>
          <w:rPr>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64" w:history="1">
        <w:r w:rsidRPr="001A79D3">
          <w:rPr>
            <w:rStyle w:val="Hypertextovodkaz"/>
          </w:rPr>
          <w:t>Seznam grafů</w:t>
        </w:r>
        <w:r>
          <w:rPr>
            <w:webHidden/>
          </w:rPr>
          <w:tab/>
        </w:r>
        <w:r>
          <w:rPr>
            <w:webHidden/>
          </w:rPr>
          <w:fldChar w:fldCharType="begin"/>
        </w:r>
        <w:r>
          <w:rPr>
            <w:webHidden/>
          </w:rPr>
          <w:instrText xml:space="preserve"> PAGEREF _Toc175913864 \h </w:instrText>
        </w:r>
        <w:r>
          <w:rPr>
            <w:webHidden/>
          </w:rPr>
        </w:r>
        <w:r>
          <w:rPr>
            <w:webHidden/>
          </w:rPr>
          <w:fldChar w:fldCharType="separate"/>
        </w:r>
        <w:r>
          <w:rPr>
            <w:webHidden/>
          </w:rPr>
          <w:t>5</w:t>
        </w:r>
        <w:r>
          <w:rPr>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65" w:history="1">
        <w:r w:rsidRPr="001A79D3">
          <w:rPr>
            <w:rStyle w:val="Hypertextovodkaz"/>
          </w:rPr>
          <w:t>1</w:t>
        </w:r>
        <w:r>
          <w:rPr>
            <w:rFonts w:asciiTheme="minorHAnsi" w:eastAsiaTheme="minorEastAsia" w:hAnsiTheme="minorHAnsi" w:cstheme="minorBidi"/>
            <w:b w:val="0"/>
            <w:sz w:val="22"/>
            <w:szCs w:val="22"/>
          </w:rPr>
          <w:tab/>
        </w:r>
        <w:r w:rsidRPr="001A79D3">
          <w:rPr>
            <w:rStyle w:val="Hypertextovodkaz"/>
          </w:rPr>
          <w:t>Východiska a priority státního rozpočtu na rok 2025</w:t>
        </w:r>
        <w:r>
          <w:rPr>
            <w:webHidden/>
          </w:rPr>
          <w:tab/>
        </w:r>
        <w:r>
          <w:rPr>
            <w:webHidden/>
          </w:rPr>
          <w:fldChar w:fldCharType="begin"/>
        </w:r>
        <w:r>
          <w:rPr>
            <w:webHidden/>
          </w:rPr>
          <w:instrText xml:space="preserve"> PAGEREF _Toc175913865 \h </w:instrText>
        </w:r>
        <w:r>
          <w:rPr>
            <w:webHidden/>
          </w:rPr>
        </w:r>
        <w:r>
          <w:rPr>
            <w:webHidden/>
          </w:rPr>
          <w:fldChar w:fldCharType="separate"/>
        </w:r>
        <w:r>
          <w:rPr>
            <w:webHidden/>
          </w:rPr>
          <w:t>6</w:t>
        </w:r>
        <w:r>
          <w:rPr>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66" w:history="1">
        <w:r w:rsidRPr="001A79D3">
          <w:rPr>
            <w:rStyle w:val="Hypertextovodkaz"/>
            <w:noProof/>
          </w:rPr>
          <w:t>1.1</w:t>
        </w:r>
        <w:r>
          <w:rPr>
            <w:rFonts w:asciiTheme="minorHAnsi" w:eastAsiaTheme="minorEastAsia" w:hAnsiTheme="minorHAnsi" w:cstheme="minorBidi"/>
            <w:noProof/>
            <w:sz w:val="22"/>
            <w:szCs w:val="22"/>
          </w:rPr>
          <w:tab/>
        </w:r>
        <w:r w:rsidRPr="001A79D3">
          <w:rPr>
            <w:rStyle w:val="Hypertextovodkaz"/>
            <w:noProof/>
          </w:rPr>
          <w:t>Východiska</w:t>
        </w:r>
        <w:r>
          <w:rPr>
            <w:noProof/>
            <w:webHidden/>
          </w:rPr>
          <w:tab/>
        </w:r>
        <w:r>
          <w:rPr>
            <w:noProof/>
            <w:webHidden/>
          </w:rPr>
          <w:fldChar w:fldCharType="begin"/>
        </w:r>
        <w:r>
          <w:rPr>
            <w:noProof/>
            <w:webHidden/>
          </w:rPr>
          <w:instrText xml:space="preserve"> PAGEREF _Toc175913866 \h </w:instrText>
        </w:r>
        <w:r>
          <w:rPr>
            <w:noProof/>
            <w:webHidden/>
          </w:rPr>
        </w:r>
        <w:r>
          <w:rPr>
            <w:noProof/>
            <w:webHidden/>
          </w:rPr>
          <w:fldChar w:fldCharType="separate"/>
        </w:r>
        <w:r>
          <w:rPr>
            <w:noProof/>
            <w:webHidden/>
          </w:rPr>
          <w:t>6</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67" w:history="1">
        <w:r w:rsidRPr="001A79D3">
          <w:rPr>
            <w:rStyle w:val="Hypertextovodkaz"/>
            <w:noProof/>
          </w:rPr>
          <w:t>1.2</w:t>
        </w:r>
        <w:r>
          <w:rPr>
            <w:rFonts w:asciiTheme="minorHAnsi" w:eastAsiaTheme="minorEastAsia" w:hAnsiTheme="minorHAnsi" w:cstheme="minorBidi"/>
            <w:noProof/>
            <w:sz w:val="22"/>
            <w:szCs w:val="22"/>
          </w:rPr>
          <w:tab/>
        </w:r>
        <w:r w:rsidRPr="001A79D3">
          <w:rPr>
            <w:rStyle w:val="Hypertextovodkaz"/>
            <w:noProof/>
          </w:rPr>
          <w:t>Hlavní priority státního rozpočtu na rok 2025</w:t>
        </w:r>
        <w:r>
          <w:rPr>
            <w:noProof/>
            <w:webHidden/>
          </w:rPr>
          <w:tab/>
        </w:r>
        <w:r>
          <w:rPr>
            <w:noProof/>
            <w:webHidden/>
          </w:rPr>
          <w:fldChar w:fldCharType="begin"/>
        </w:r>
        <w:r>
          <w:rPr>
            <w:noProof/>
            <w:webHidden/>
          </w:rPr>
          <w:instrText xml:space="preserve"> PAGEREF _Toc175913867 \h </w:instrText>
        </w:r>
        <w:r>
          <w:rPr>
            <w:noProof/>
            <w:webHidden/>
          </w:rPr>
        </w:r>
        <w:r>
          <w:rPr>
            <w:noProof/>
            <w:webHidden/>
          </w:rPr>
          <w:fldChar w:fldCharType="separate"/>
        </w:r>
        <w:r>
          <w:rPr>
            <w:noProof/>
            <w:webHidden/>
          </w:rPr>
          <w:t>6</w:t>
        </w:r>
        <w:r>
          <w:rPr>
            <w:noProof/>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68" w:history="1">
        <w:r w:rsidRPr="001A79D3">
          <w:rPr>
            <w:rStyle w:val="Hypertextovodkaz"/>
          </w:rPr>
          <w:t>2</w:t>
        </w:r>
        <w:r>
          <w:rPr>
            <w:rFonts w:asciiTheme="minorHAnsi" w:eastAsiaTheme="minorEastAsia" w:hAnsiTheme="minorHAnsi" w:cstheme="minorBidi"/>
            <w:b w:val="0"/>
            <w:sz w:val="22"/>
            <w:szCs w:val="22"/>
          </w:rPr>
          <w:tab/>
        </w:r>
        <w:r w:rsidRPr="001A79D3">
          <w:rPr>
            <w:rStyle w:val="Hypertextovodkaz"/>
          </w:rPr>
          <w:t>Souhrnné údaje o příjmech, výdajích a saldu státního rozpočtu na rok 2025</w:t>
        </w:r>
        <w:r>
          <w:rPr>
            <w:webHidden/>
          </w:rPr>
          <w:tab/>
        </w:r>
        <w:r>
          <w:rPr>
            <w:webHidden/>
          </w:rPr>
          <w:fldChar w:fldCharType="begin"/>
        </w:r>
        <w:r>
          <w:rPr>
            <w:webHidden/>
          </w:rPr>
          <w:instrText xml:space="preserve"> PAGEREF _Toc175913868 \h </w:instrText>
        </w:r>
        <w:r>
          <w:rPr>
            <w:webHidden/>
          </w:rPr>
        </w:r>
        <w:r>
          <w:rPr>
            <w:webHidden/>
          </w:rPr>
          <w:fldChar w:fldCharType="separate"/>
        </w:r>
        <w:r>
          <w:rPr>
            <w:webHidden/>
          </w:rPr>
          <w:t>7</w:t>
        </w:r>
        <w:r>
          <w:rPr>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69" w:history="1">
        <w:r w:rsidRPr="001A79D3">
          <w:rPr>
            <w:rStyle w:val="Hypertextovodkaz"/>
          </w:rPr>
          <w:t>3</w:t>
        </w:r>
        <w:r>
          <w:rPr>
            <w:rFonts w:asciiTheme="minorHAnsi" w:eastAsiaTheme="minorEastAsia" w:hAnsiTheme="minorHAnsi" w:cstheme="minorBidi"/>
            <w:b w:val="0"/>
            <w:sz w:val="22"/>
            <w:szCs w:val="22"/>
          </w:rPr>
          <w:tab/>
        </w:r>
        <w:r w:rsidRPr="001A79D3">
          <w:rPr>
            <w:rStyle w:val="Hypertextovodkaz"/>
          </w:rPr>
          <w:t>Detailní pohled na příjmy</w:t>
        </w:r>
        <w:r>
          <w:rPr>
            <w:webHidden/>
          </w:rPr>
          <w:tab/>
        </w:r>
        <w:r>
          <w:rPr>
            <w:webHidden/>
          </w:rPr>
          <w:fldChar w:fldCharType="begin"/>
        </w:r>
        <w:r>
          <w:rPr>
            <w:webHidden/>
          </w:rPr>
          <w:instrText xml:space="preserve"> PAGEREF _Toc175913869 \h </w:instrText>
        </w:r>
        <w:r>
          <w:rPr>
            <w:webHidden/>
          </w:rPr>
        </w:r>
        <w:r>
          <w:rPr>
            <w:webHidden/>
          </w:rPr>
          <w:fldChar w:fldCharType="separate"/>
        </w:r>
        <w:r>
          <w:rPr>
            <w:webHidden/>
          </w:rPr>
          <w:t>11</w:t>
        </w:r>
        <w:r>
          <w:rPr>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70" w:history="1">
        <w:r w:rsidRPr="001A79D3">
          <w:rPr>
            <w:rStyle w:val="Hypertextovodkaz"/>
            <w:noProof/>
          </w:rPr>
          <w:t>3.1</w:t>
        </w:r>
        <w:r>
          <w:rPr>
            <w:rFonts w:asciiTheme="minorHAnsi" w:eastAsiaTheme="minorEastAsia" w:hAnsiTheme="minorHAnsi" w:cstheme="minorBidi"/>
            <w:noProof/>
            <w:sz w:val="22"/>
            <w:szCs w:val="22"/>
          </w:rPr>
          <w:tab/>
        </w:r>
        <w:r w:rsidRPr="001A79D3">
          <w:rPr>
            <w:rStyle w:val="Hypertextovodkaz"/>
            <w:noProof/>
          </w:rPr>
          <w:t>Daňové příjmy</w:t>
        </w:r>
        <w:r>
          <w:rPr>
            <w:noProof/>
            <w:webHidden/>
          </w:rPr>
          <w:tab/>
        </w:r>
        <w:r>
          <w:rPr>
            <w:noProof/>
            <w:webHidden/>
          </w:rPr>
          <w:fldChar w:fldCharType="begin"/>
        </w:r>
        <w:r>
          <w:rPr>
            <w:noProof/>
            <w:webHidden/>
          </w:rPr>
          <w:instrText xml:space="preserve"> PAGEREF _Toc175913870 \h </w:instrText>
        </w:r>
        <w:r>
          <w:rPr>
            <w:noProof/>
            <w:webHidden/>
          </w:rPr>
        </w:r>
        <w:r>
          <w:rPr>
            <w:noProof/>
            <w:webHidden/>
          </w:rPr>
          <w:fldChar w:fldCharType="separate"/>
        </w:r>
        <w:r>
          <w:rPr>
            <w:noProof/>
            <w:webHidden/>
          </w:rPr>
          <w:t>12</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1" w:history="1">
        <w:r w:rsidRPr="001A79D3">
          <w:rPr>
            <w:rStyle w:val="Hypertextovodkaz"/>
            <w:noProof/>
            <w14:scene3d>
              <w14:camera w14:prst="orthographicFront"/>
              <w14:lightRig w14:rig="threePt" w14:dir="t">
                <w14:rot w14:lat="0" w14:lon="0" w14:rev="0"/>
              </w14:lightRig>
            </w14:scene3d>
          </w:rPr>
          <w:t>3.1.1</w:t>
        </w:r>
        <w:r>
          <w:rPr>
            <w:rFonts w:asciiTheme="minorHAnsi" w:eastAsiaTheme="minorEastAsia" w:hAnsiTheme="minorHAnsi" w:cstheme="minorBidi"/>
            <w:noProof/>
            <w:sz w:val="22"/>
            <w:szCs w:val="22"/>
          </w:rPr>
          <w:tab/>
        </w:r>
        <w:r w:rsidRPr="001A79D3">
          <w:rPr>
            <w:rStyle w:val="Hypertextovodkaz"/>
            <w:noProof/>
          </w:rPr>
          <w:t>Vývoj daňové kvóty</w:t>
        </w:r>
        <w:r>
          <w:rPr>
            <w:noProof/>
            <w:webHidden/>
          </w:rPr>
          <w:tab/>
        </w:r>
        <w:r>
          <w:rPr>
            <w:noProof/>
            <w:webHidden/>
          </w:rPr>
          <w:fldChar w:fldCharType="begin"/>
        </w:r>
        <w:r>
          <w:rPr>
            <w:noProof/>
            <w:webHidden/>
          </w:rPr>
          <w:instrText xml:space="preserve"> PAGEREF _Toc175913871 \h </w:instrText>
        </w:r>
        <w:r>
          <w:rPr>
            <w:noProof/>
            <w:webHidden/>
          </w:rPr>
        </w:r>
        <w:r>
          <w:rPr>
            <w:noProof/>
            <w:webHidden/>
          </w:rPr>
          <w:fldChar w:fldCharType="separate"/>
        </w:r>
        <w:r>
          <w:rPr>
            <w:noProof/>
            <w:webHidden/>
          </w:rPr>
          <w:t>12</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2" w:history="1">
        <w:r w:rsidRPr="001A79D3">
          <w:rPr>
            <w:rStyle w:val="Hypertextovodkaz"/>
            <w:noProof/>
            <w14:scene3d>
              <w14:camera w14:prst="orthographicFront"/>
              <w14:lightRig w14:rig="threePt" w14:dir="t">
                <w14:rot w14:lat="0" w14:lon="0" w14:rev="0"/>
              </w14:lightRig>
            </w14:scene3d>
          </w:rPr>
          <w:t>3.1.2</w:t>
        </w:r>
        <w:r>
          <w:rPr>
            <w:rFonts w:asciiTheme="minorHAnsi" w:eastAsiaTheme="minorEastAsia" w:hAnsiTheme="minorHAnsi" w:cstheme="minorBidi"/>
            <w:noProof/>
            <w:sz w:val="22"/>
            <w:szCs w:val="22"/>
          </w:rPr>
          <w:tab/>
        </w:r>
        <w:r w:rsidRPr="001A79D3">
          <w:rPr>
            <w:rStyle w:val="Hypertextovodkaz"/>
            <w:noProof/>
          </w:rPr>
          <w:t>Celková predikce daňových příjmů</w:t>
        </w:r>
        <w:r>
          <w:rPr>
            <w:noProof/>
            <w:webHidden/>
          </w:rPr>
          <w:tab/>
        </w:r>
        <w:r>
          <w:rPr>
            <w:noProof/>
            <w:webHidden/>
          </w:rPr>
          <w:fldChar w:fldCharType="begin"/>
        </w:r>
        <w:r>
          <w:rPr>
            <w:noProof/>
            <w:webHidden/>
          </w:rPr>
          <w:instrText xml:space="preserve"> PAGEREF _Toc175913872 \h </w:instrText>
        </w:r>
        <w:r>
          <w:rPr>
            <w:noProof/>
            <w:webHidden/>
          </w:rPr>
        </w:r>
        <w:r>
          <w:rPr>
            <w:noProof/>
            <w:webHidden/>
          </w:rPr>
          <w:fldChar w:fldCharType="separate"/>
        </w:r>
        <w:r>
          <w:rPr>
            <w:noProof/>
            <w:webHidden/>
          </w:rPr>
          <w:t>13</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3" w:history="1">
        <w:r w:rsidRPr="001A79D3">
          <w:rPr>
            <w:rStyle w:val="Hypertextovodkaz"/>
            <w:noProof/>
            <w14:scene3d>
              <w14:camera w14:prst="orthographicFront"/>
              <w14:lightRig w14:rig="threePt" w14:dir="t">
                <w14:rot w14:lat="0" w14:lon="0" w14:rev="0"/>
              </w14:lightRig>
            </w14:scene3d>
          </w:rPr>
          <w:t>3.1.3</w:t>
        </w:r>
        <w:r>
          <w:rPr>
            <w:rFonts w:asciiTheme="minorHAnsi" w:eastAsiaTheme="minorEastAsia" w:hAnsiTheme="minorHAnsi" w:cstheme="minorBidi"/>
            <w:noProof/>
            <w:sz w:val="22"/>
            <w:szCs w:val="22"/>
          </w:rPr>
          <w:tab/>
        </w:r>
        <w:r w:rsidRPr="001A79D3">
          <w:rPr>
            <w:rStyle w:val="Hypertextovodkaz"/>
            <w:noProof/>
          </w:rPr>
          <w:t>Rozpočtové určení daní</w:t>
        </w:r>
        <w:r>
          <w:rPr>
            <w:noProof/>
            <w:webHidden/>
          </w:rPr>
          <w:tab/>
        </w:r>
        <w:r>
          <w:rPr>
            <w:noProof/>
            <w:webHidden/>
          </w:rPr>
          <w:fldChar w:fldCharType="begin"/>
        </w:r>
        <w:r>
          <w:rPr>
            <w:noProof/>
            <w:webHidden/>
          </w:rPr>
          <w:instrText xml:space="preserve"> PAGEREF _Toc175913873 \h </w:instrText>
        </w:r>
        <w:r>
          <w:rPr>
            <w:noProof/>
            <w:webHidden/>
          </w:rPr>
        </w:r>
        <w:r>
          <w:rPr>
            <w:noProof/>
            <w:webHidden/>
          </w:rPr>
          <w:fldChar w:fldCharType="separate"/>
        </w:r>
        <w:r>
          <w:rPr>
            <w:noProof/>
            <w:webHidden/>
          </w:rPr>
          <w:t>13</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4" w:history="1">
        <w:r w:rsidRPr="001A79D3">
          <w:rPr>
            <w:rStyle w:val="Hypertextovodkaz"/>
            <w:noProof/>
            <w14:scene3d>
              <w14:camera w14:prst="orthographicFront"/>
              <w14:lightRig w14:rig="threePt" w14:dir="t">
                <w14:rot w14:lat="0" w14:lon="0" w14:rev="0"/>
              </w14:lightRig>
            </w14:scene3d>
          </w:rPr>
          <w:t>3.1.4</w:t>
        </w:r>
        <w:r>
          <w:rPr>
            <w:rFonts w:asciiTheme="minorHAnsi" w:eastAsiaTheme="minorEastAsia" w:hAnsiTheme="minorHAnsi" w:cstheme="minorBidi"/>
            <w:noProof/>
            <w:sz w:val="22"/>
            <w:szCs w:val="22"/>
          </w:rPr>
          <w:tab/>
        </w:r>
        <w:r w:rsidRPr="001A79D3">
          <w:rPr>
            <w:rStyle w:val="Hypertextovodkaz"/>
            <w:noProof/>
          </w:rPr>
          <w:t>Daň z přidané hodnoty</w:t>
        </w:r>
        <w:r>
          <w:rPr>
            <w:noProof/>
            <w:webHidden/>
          </w:rPr>
          <w:tab/>
        </w:r>
        <w:r>
          <w:rPr>
            <w:noProof/>
            <w:webHidden/>
          </w:rPr>
          <w:fldChar w:fldCharType="begin"/>
        </w:r>
        <w:r>
          <w:rPr>
            <w:noProof/>
            <w:webHidden/>
          </w:rPr>
          <w:instrText xml:space="preserve"> PAGEREF _Toc175913874 \h </w:instrText>
        </w:r>
        <w:r>
          <w:rPr>
            <w:noProof/>
            <w:webHidden/>
          </w:rPr>
        </w:r>
        <w:r>
          <w:rPr>
            <w:noProof/>
            <w:webHidden/>
          </w:rPr>
          <w:fldChar w:fldCharType="separate"/>
        </w:r>
        <w:r>
          <w:rPr>
            <w:noProof/>
            <w:webHidden/>
          </w:rPr>
          <w:t>13</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5" w:history="1">
        <w:r w:rsidRPr="001A79D3">
          <w:rPr>
            <w:rStyle w:val="Hypertextovodkaz"/>
            <w:noProof/>
            <w14:scene3d>
              <w14:camera w14:prst="orthographicFront"/>
              <w14:lightRig w14:rig="threePt" w14:dir="t">
                <w14:rot w14:lat="0" w14:lon="0" w14:rev="0"/>
              </w14:lightRig>
            </w14:scene3d>
          </w:rPr>
          <w:t>3.1.5</w:t>
        </w:r>
        <w:r>
          <w:rPr>
            <w:rFonts w:asciiTheme="minorHAnsi" w:eastAsiaTheme="minorEastAsia" w:hAnsiTheme="minorHAnsi" w:cstheme="minorBidi"/>
            <w:noProof/>
            <w:sz w:val="22"/>
            <w:szCs w:val="22"/>
          </w:rPr>
          <w:tab/>
        </w:r>
        <w:r w:rsidRPr="001A79D3">
          <w:rPr>
            <w:rStyle w:val="Hypertextovodkaz"/>
            <w:noProof/>
          </w:rPr>
          <w:t>Spotřební daně</w:t>
        </w:r>
        <w:r>
          <w:rPr>
            <w:noProof/>
            <w:webHidden/>
          </w:rPr>
          <w:tab/>
        </w:r>
        <w:r>
          <w:rPr>
            <w:noProof/>
            <w:webHidden/>
          </w:rPr>
          <w:fldChar w:fldCharType="begin"/>
        </w:r>
        <w:r>
          <w:rPr>
            <w:noProof/>
            <w:webHidden/>
          </w:rPr>
          <w:instrText xml:space="preserve"> PAGEREF _Toc175913875 \h </w:instrText>
        </w:r>
        <w:r>
          <w:rPr>
            <w:noProof/>
            <w:webHidden/>
          </w:rPr>
        </w:r>
        <w:r>
          <w:rPr>
            <w:noProof/>
            <w:webHidden/>
          </w:rPr>
          <w:fldChar w:fldCharType="separate"/>
        </w:r>
        <w:r>
          <w:rPr>
            <w:noProof/>
            <w:webHidden/>
          </w:rPr>
          <w:t>14</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6" w:history="1">
        <w:r w:rsidRPr="001A79D3">
          <w:rPr>
            <w:rStyle w:val="Hypertextovodkaz"/>
            <w:noProof/>
            <w14:scene3d>
              <w14:camera w14:prst="orthographicFront"/>
              <w14:lightRig w14:rig="threePt" w14:dir="t">
                <w14:rot w14:lat="0" w14:lon="0" w14:rev="0"/>
              </w14:lightRig>
            </w14:scene3d>
          </w:rPr>
          <w:t>3.1.6</w:t>
        </w:r>
        <w:r>
          <w:rPr>
            <w:rFonts w:asciiTheme="minorHAnsi" w:eastAsiaTheme="minorEastAsia" w:hAnsiTheme="minorHAnsi" w:cstheme="minorBidi"/>
            <w:noProof/>
            <w:sz w:val="22"/>
            <w:szCs w:val="22"/>
          </w:rPr>
          <w:tab/>
        </w:r>
        <w:r w:rsidRPr="001A79D3">
          <w:rPr>
            <w:rStyle w:val="Hypertextovodkaz"/>
            <w:noProof/>
          </w:rPr>
          <w:t>Daň z příjmů právnických osob</w:t>
        </w:r>
        <w:r>
          <w:rPr>
            <w:noProof/>
            <w:webHidden/>
          </w:rPr>
          <w:tab/>
        </w:r>
        <w:r>
          <w:rPr>
            <w:noProof/>
            <w:webHidden/>
          </w:rPr>
          <w:fldChar w:fldCharType="begin"/>
        </w:r>
        <w:r>
          <w:rPr>
            <w:noProof/>
            <w:webHidden/>
          </w:rPr>
          <w:instrText xml:space="preserve"> PAGEREF _Toc175913876 \h </w:instrText>
        </w:r>
        <w:r>
          <w:rPr>
            <w:noProof/>
            <w:webHidden/>
          </w:rPr>
        </w:r>
        <w:r>
          <w:rPr>
            <w:noProof/>
            <w:webHidden/>
          </w:rPr>
          <w:fldChar w:fldCharType="separate"/>
        </w:r>
        <w:r>
          <w:rPr>
            <w:noProof/>
            <w:webHidden/>
          </w:rPr>
          <w:t>14</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7" w:history="1">
        <w:r w:rsidRPr="001A79D3">
          <w:rPr>
            <w:rStyle w:val="Hypertextovodkaz"/>
            <w:noProof/>
            <w14:scene3d>
              <w14:camera w14:prst="orthographicFront"/>
              <w14:lightRig w14:rig="threePt" w14:dir="t">
                <w14:rot w14:lat="0" w14:lon="0" w14:rev="0"/>
              </w14:lightRig>
            </w14:scene3d>
          </w:rPr>
          <w:t>3.1.7</w:t>
        </w:r>
        <w:r>
          <w:rPr>
            <w:rFonts w:asciiTheme="minorHAnsi" w:eastAsiaTheme="minorEastAsia" w:hAnsiTheme="minorHAnsi" w:cstheme="minorBidi"/>
            <w:noProof/>
            <w:sz w:val="22"/>
            <w:szCs w:val="22"/>
          </w:rPr>
          <w:tab/>
        </w:r>
        <w:r w:rsidRPr="001A79D3">
          <w:rPr>
            <w:rStyle w:val="Hypertextovodkaz"/>
            <w:noProof/>
          </w:rPr>
          <w:t>Daň z příjmů fyzických osob</w:t>
        </w:r>
        <w:r>
          <w:rPr>
            <w:noProof/>
            <w:webHidden/>
          </w:rPr>
          <w:tab/>
        </w:r>
        <w:r>
          <w:rPr>
            <w:noProof/>
            <w:webHidden/>
          </w:rPr>
          <w:fldChar w:fldCharType="begin"/>
        </w:r>
        <w:r>
          <w:rPr>
            <w:noProof/>
            <w:webHidden/>
          </w:rPr>
          <w:instrText xml:space="preserve"> PAGEREF _Toc175913877 \h </w:instrText>
        </w:r>
        <w:r>
          <w:rPr>
            <w:noProof/>
            <w:webHidden/>
          </w:rPr>
        </w:r>
        <w:r>
          <w:rPr>
            <w:noProof/>
            <w:webHidden/>
          </w:rPr>
          <w:fldChar w:fldCharType="separate"/>
        </w:r>
        <w:r>
          <w:rPr>
            <w:noProof/>
            <w:webHidden/>
          </w:rPr>
          <w:t>14</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8" w:history="1">
        <w:r w:rsidRPr="001A79D3">
          <w:rPr>
            <w:rStyle w:val="Hypertextovodkaz"/>
            <w:noProof/>
            <w14:scene3d>
              <w14:camera w14:prst="orthographicFront"/>
              <w14:lightRig w14:rig="threePt" w14:dir="t">
                <w14:rot w14:lat="0" w14:lon="0" w14:rev="0"/>
              </w14:lightRig>
            </w14:scene3d>
          </w:rPr>
          <w:t>3.1.8</w:t>
        </w:r>
        <w:r>
          <w:rPr>
            <w:rFonts w:asciiTheme="minorHAnsi" w:eastAsiaTheme="minorEastAsia" w:hAnsiTheme="minorHAnsi" w:cstheme="minorBidi"/>
            <w:noProof/>
            <w:sz w:val="22"/>
            <w:szCs w:val="22"/>
          </w:rPr>
          <w:tab/>
        </w:r>
        <w:r w:rsidRPr="001A79D3">
          <w:rPr>
            <w:rStyle w:val="Hypertextovodkaz"/>
            <w:noProof/>
          </w:rPr>
          <w:t>Silniční daň</w:t>
        </w:r>
        <w:r>
          <w:rPr>
            <w:noProof/>
            <w:webHidden/>
          </w:rPr>
          <w:tab/>
        </w:r>
        <w:r>
          <w:rPr>
            <w:noProof/>
            <w:webHidden/>
          </w:rPr>
          <w:fldChar w:fldCharType="begin"/>
        </w:r>
        <w:r>
          <w:rPr>
            <w:noProof/>
            <w:webHidden/>
          </w:rPr>
          <w:instrText xml:space="preserve"> PAGEREF _Toc175913878 \h </w:instrText>
        </w:r>
        <w:r>
          <w:rPr>
            <w:noProof/>
            <w:webHidden/>
          </w:rPr>
        </w:r>
        <w:r>
          <w:rPr>
            <w:noProof/>
            <w:webHidden/>
          </w:rPr>
          <w:fldChar w:fldCharType="separate"/>
        </w:r>
        <w:r>
          <w:rPr>
            <w:noProof/>
            <w:webHidden/>
          </w:rPr>
          <w:t>15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79" w:history="1">
        <w:r w:rsidRPr="001A79D3">
          <w:rPr>
            <w:rStyle w:val="Hypertextovodkaz"/>
            <w:noProof/>
            <w14:scene3d>
              <w14:camera w14:prst="orthographicFront"/>
              <w14:lightRig w14:rig="threePt" w14:dir="t">
                <w14:rot w14:lat="0" w14:lon="0" w14:rev="0"/>
              </w14:lightRig>
            </w14:scene3d>
          </w:rPr>
          <w:t>3.1.9</w:t>
        </w:r>
        <w:r>
          <w:rPr>
            <w:rFonts w:asciiTheme="minorHAnsi" w:eastAsiaTheme="minorEastAsia" w:hAnsiTheme="minorHAnsi" w:cstheme="minorBidi"/>
            <w:noProof/>
            <w:sz w:val="22"/>
            <w:szCs w:val="22"/>
          </w:rPr>
          <w:tab/>
        </w:r>
        <w:r w:rsidRPr="001A79D3">
          <w:rPr>
            <w:rStyle w:val="Hypertextovodkaz"/>
            <w:noProof/>
          </w:rPr>
          <w:t>Odvod z elektřiny ze slunečního záření</w:t>
        </w:r>
        <w:r>
          <w:rPr>
            <w:noProof/>
            <w:webHidden/>
          </w:rPr>
          <w:tab/>
        </w:r>
        <w:r>
          <w:rPr>
            <w:noProof/>
            <w:webHidden/>
          </w:rPr>
          <w:fldChar w:fldCharType="begin"/>
        </w:r>
        <w:r>
          <w:rPr>
            <w:noProof/>
            <w:webHidden/>
          </w:rPr>
          <w:instrText xml:space="preserve"> PAGEREF _Toc175913879 \h </w:instrText>
        </w:r>
        <w:r>
          <w:rPr>
            <w:noProof/>
            <w:webHidden/>
          </w:rPr>
        </w:r>
        <w:r>
          <w:rPr>
            <w:noProof/>
            <w:webHidden/>
          </w:rPr>
          <w:fldChar w:fldCharType="separate"/>
        </w:r>
        <w:r>
          <w:rPr>
            <w:noProof/>
            <w:webHidden/>
          </w:rPr>
          <w:t>15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0" w:history="1">
        <w:r w:rsidRPr="001A79D3">
          <w:rPr>
            <w:rStyle w:val="Hypertextovodkaz"/>
            <w:noProof/>
            <w14:scene3d>
              <w14:camera w14:prst="orthographicFront"/>
              <w14:lightRig w14:rig="threePt" w14:dir="t">
                <w14:rot w14:lat="0" w14:lon="0" w14:rev="0"/>
              </w14:lightRig>
            </w14:scene3d>
          </w:rPr>
          <w:t>3.1.10</w:t>
        </w:r>
        <w:r>
          <w:rPr>
            <w:rFonts w:asciiTheme="minorHAnsi" w:eastAsiaTheme="minorEastAsia" w:hAnsiTheme="minorHAnsi" w:cstheme="minorBidi"/>
            <w:noProof/>
            <w:sz w:val="22"/>
            <w:szCs w:val="22"/>
          </w:rPr>
          <w:tab/>
        </w:r>
        <w:r w:rsidRPr="001A79D3">
          <w:rPr>
            <w:rStyle w:val="Hypertextovodkaz"/>
            <w:noProof/>
          </w:rPr>
          <w:t>Daň z hazardu</w:t>
        </w:r>
        <w:r>
          <w:rPr>
            <w:noProof/>
            <w:webHidden/>
          </w:rPr>
          <w:tab/>
        </w:r>
        <w:r>
          <w:rPr>
            <w:noProof/>
            <w:webHidden/>
          </w:rPr>
          <w:fldChar w:fldCharType="begin"/>
        </w:r>
        <w:r>
          <w:rPr>
            <w:noProof/>
            <w:webHidden/>
          </w:rPr>
          <w:instrText xml:space="preserve"> PAGEREF _Toc175913880 \h </w:instrText>
        </w:r>
        <w:r>
          <w:rPr>
            <w:noProof/>
            <w:webHidden/>
          </w:rPr>
        </w:r>
        <w:r>
          <w:rPr>
            <w:noProof/>
            <w:webHidden/>
          </w:rPr>
          <w:fldChar w:fldCharType="separate"/>
        </w:r>
        <w:r>
          <w:rPr>
            <w:noProof/>
            <w:webHidden/>
          </w:rPr>
          <w:t>15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1" w:history="1">
        <w:r w:rsidRPr="001A79D3">
          <w:rPr>
            <w:rStyle w:val="Hypertextovodkaz"/>
            <w:noProof/>
            <w14:scene3d>
              <w14:camera w14:prst="orthographicFront"/>
              <w14:lightRig w14:rig="threePt" w14:dir="t">
                <w14:rot w14:lat="0" w14:lon="0" w14:rev="0"/>
              </w14:lightRig>
            </w14:scene3d>
          </w:rPr>
          <w:t>3.1.11</w:t>
        </w:r>
        <w:r>
          <w:rPr>
            <w:rFonts w:asciiTheme="minorHAnsi" w:eastAsiaTheme="minorEastAsia" w:hAnsiTheme="minorHAnsi" w:cstheme="minorBidi"/>
            <w:noProof/>
            <w:sz w:val="22"/>
            <w:szCs w:val="22"/>
          </w:rPr>
          <w:tab/>
        </w:r>
        <w:r w:rsidRPr="001A79D3">
          <w:rPr>
            <w:rStyle w:val="Hypertextovodkaz"/>
            <w:noProof/>
          </w:rPr>
          <w:t>Dorovnávací daně</w:t>
        </w:r>
        <w:r>
          <w:rPr>
            <w:noProof/>
            <w:webHidden/>
          </w:rPr>
          <w:tab/>
        </w:r>
        <w:r>
          <w:rPr>
            <w:noProof/>
            <w:webHidden/>
          </w:rPr>
          <w:fldChar w:fldCharType="begin"/>
        </w:r>
        <w:r>
          <w:rPr>
            <w:noProof/>
            <w:webHidden/>
          </w:rPr>
          <w:instrText xml:space="preserve"> PAGEREF _Toc175913881 \h </w:instrText>
        </w:r>
        <w:r>
          <w:rPr>
            <w:noProof/>
            <w:webHidden/>
          </w:rPr>
        </w:r>
        <w:r>
          <w:rPr>
            <w:noProof/>
            <w:webHidden/>
          </w:rPr>
          <w:fldChar w:fldCharType="separate"/>
        </w:r>
        <w:r>
          <w:rPr>
            <w:noProof/>
            <w:webHidden/>
          </w:rPr>
          <w:t>15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2" w:history="1">
        <w:r w:rsidRPr="001A79D3">
          <w:rPr>
            <w:rStyle w:val="Hypertextovodkaz"/>
            <w:noProof/>
            <w14:scene3d>
              <w14:camera w14:prst="orthographicFront"/>
              <w14:lightRig w14:rig="threePt" w14:dir="t">
                <w14:rot w14:lat="0" w14:lon="0" w14:rev="0"/>
              </w14:lightRig>
            </w14:scene3d>
          </w:rPr>
          <w:t>3.1.12</w:t>
        </w:r>
        <w:r>
          <w:rPr>
            <w:rFonts w:asciiTheme="minorHAnsi" w:eastAsiaTheme="minorEastAsia" w:hAnsiTheme="minorHAnsi" w:cstheme="minorBidi"/>
            <w:noProof/>
            <w:sz w:val="22"/>
            <w:szCs w:val="22"/>
          </w:rPr>
          <w:tab/>
        </w:r>
        <w:r w:rsidRPr="001A79D3">
          <w:rPr>
            <w:rStyle w:val="Hypertextovodkaz"/>
            <w:noProof/>
          </w:rPr>
          <w:t>Ostatní daně a poplatky</w:t>
        </w:r>
        <w:r>
          <w:rPr>
            <w:noProof/>
            <w:webHidden/>
          </w:rPr>
          <w:tab/>
        </w:r>
        <w:r>
          <w:rPr>
            <w:noProof/>
            <w:webHidden/>
          </w:rPr>
          <w:fldChar w:fldCharType="begin"/>
        </w:r>
        <w:r>
          <w:rPr>
            <w:noProof/>
            <w:webHidden/>
          </w:rPr>
          <w:instrText xml:space="preserve"> PAGEREF _Toc175913882 \h </w:instrText>
        </w:r>
        <w:r>
          <w:rPr>
            <w:noProof/>
            <w:webHidden/>
          </w:rPr>
        </w:r>
        <w:r>
          <w:rPr>
            <w:noProof/>
            <w:webHidden/>
          </w:rPr>
          <w:fldChar w:fldCharType="separate"/>
        </w:r>
        <w:r>
          <w:rPr>
            <w:noProof/>
            <w:webHidden/>
          </w:rPr>
          <w:t>15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3" w:history="1">
        <w:r w:rsidRPr="001A79D3">
          <w:rPr>
            <w:rStyle w:val="Hypertextovodkaz"/>
            <w:noProof/>
            <w14:scene3d>
              <w14:camera w14:prst="orthographicFront"/>
              <w14:lightRig w14:rig="threePt" w14:dir="t">
                <w14:rot w14:lat="0" w14:lon="0" w14:rev="0"/>
              </w14:lightRig>
            </w14:scene3d>
          </w:rPr>
          <w:t>3.1.13</w:t>
        </w:r>
        <w:r>
          <w:rPr>
            <w:rFonts w:asciiTheme="minorHAnsi" w:eastAsiaTheme="minorEastAsia" w:hAnsiTheme="minorHAnsi" w:cstheme="minorBidi"/>
            <w:noProof/>
            <w:sz w:val="22"/>
            <w:szCs w:val="22"/>
          </w:rPr>
          <w:tab/>
        </w:r>
        <w:r w:rsidRPr="001A79D3">
          <w:rPr>
            <w:rStyle w:val="Hypertextovodkaz"/>
            <w:noProof/>
          </w:rPr>
          <w:t>Daňové úlevy za rok 2022</w:t>
        </w:r>
        <w:r>
          <w:rPr>
            <w:noProof/>
            <w:webHidden/>
          </w:rPr>
          <w:tab/>
        </w:r>
        <w:r>
          <w:rPr>
            <w:noProof/>
            <w:webHidden/>
          </w:rPr>
          <w:fldChar w:fldCharType="begin"/>
        </w:r>
        <w:r>
          <w:rPr>
            <w:noProof/>
            <w:webHidden/>
          </w:rPr>
          <w:instrText xml:space="preserve"> PAGEREF _Toc175913883 \h </w:instrText>
        </w:r>
        <w:r>
          <w:rPr>
            <w:noProof/>
            <w:webHidden/>
          </w:rPr>
        </w:r>
        <w:r>
          <w:rPr>
            <w:noProof/>
            <w:webHidden/>
          </w:rPr>
          <w:fldChar w:fldCharType="separate"/>
        </w:r>
        <w:r>
          <w:rPr>
            <w:noProof/>
            <w:webHidden/>
          </w:rPr>
          <w:t>16</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84" w:history="1">
        <w:r w:rsidRPr="001A79D3">
          <w:rPr>
            <w:rStyle w:val="Hypertextovodkaz"/>
            <w:noProof/>
          </w:rPr>
          <w:t>3.2</w:t>
        </w:r>
        <w:r>
          <w:rPr>
            <w:rFonts w:asciiTheme="minorHAnsi" w:eastAsiaTheme="minorEastAsia" w:hAnsiTheme="minorHAnsi" w:cstheme="minorBidi"/>
            <w:noProof/>
            <w:sz w:val="22"/>
            <w:szCs w:val="22"/>
          </w:rPr>
          <w:tab/>
        </w:r>
        <w:r w:rsidRPr="001A79D3">
          <w:rPr>
            <w:rStyle w:val="Hypertextovodkaz"/>
            <w:noProof/>
          </w:rPr>
          <w:t>Příjmy z pojistného na sociální zabezpečení a příspěvku na státní politiku zaměstnanosti</w:t>
        </w:r>
        <w:r>
          <w:rPr>
            <w:noProof/>
            <w:webHidden/>
          </w:rPr>
          <w:tab/>
        </w:r>
        <w:r>
          <w:rPr>
            <w:noProof/>
            <w:webHidden/>
          </w:rPr>
          <w:fldChar w:fldCharType="begin"/>
        </w:r>
        <w:r>
          <w:rPr>
            <w:noProof/>
            <w:webHidden/>
          </w:rPr>
          <w:instrText xml:space="preserve"> PAGEREF _Toc175913884 \h </w:instrText>
        </w:r>
        <w:r>
          <w:rPr>
            <w:noProof/>
            <w:webHidden/>
          </w:rPr>
        </w:r>
        <w:r>
          <w:rPr>
            <w:noProof/>
            <w:webHidden/>
          </w:rPr>
          <w:fldChar w:fldCharType="separate"/>
        </w:r>
        <w:r>
          <w:rPr>
            <w:noProof/>
            <w:webHidden/>
          </w:rPr>
          <w:t>16</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85" w:history="1">
        <w:r w:rsidRPr="001A79D3">
          <w:rPr>
            <w:rStyle w:val="Hypertextovodkaz"/>
            <w:noProof/>
          </w:rPr>
          <w:t>3.3</w:t>
        </w:r>
        <w:r>
          <w:rPr>
            <w:rFonts w:asciiTheme="minorHAnsi" w:eastAsiaTheme="minorEastAsia" w:hAnsiTheme="minorHAnsi" w:cstheme="minorBidi"/>
            <w:noProof/>
            <w:sz w:val="22"/>
            <w:szCs w:val="22"/>
          </w:rPr>
          <w:tab/>
        </w:r>
        <w:r w:rsidRPr="001A79D3">
          <w:rPr>
            <w:rStyle w:val="Hypertextovodkaz"/>
            <w:noProof/>
          </w:rPr>
          <w:t>Ostatní příjmy</w:t>
        </w:r>
        <w:r>
          <w:rPr>
            <w:noProof/>
            <w:webHidden/>
          </w:rPr>
          <w:tab/>
        </w:r>
        <w:r>
          <w:rPr>
            <w:noProof/>
            <w:webHidden/>
          </w:rPr>
          <w:fldChar w:fldCharType="begin"/>
        </w:r>
        <w:r>
          <w:rPr>
            <w:noProof/>
            <w:webHidden/>
          </w:rPr>
          <w:instrText xml:space="preserve"> PAGEREF _Toc175913885 \h </w:instrText>
        </w:r>
        <w:r>
          <w:rPr>
            <w:noProof/>
            <w:webHidden/>
          </w:rPr>
        </w:r>
        <w:r>
          <w:rPr>
            <w:noProof/>
            <w:webHidden/>
          </w:rPr>
          <w:fldChar w:fldCharType="separate"/>
        </w:r>
        <w:r>
          <w:rPr>
            <w:noProof/>
            <w:webHidden/>
          </w:rPr>
          <w:t>17</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6" w:history="1">
        <w:r w:rsidRPr="001A79D3">
          <w:rPr>
            <w:rStyle w:val="Hypertextovodkaz"/>
            <w:noProof/>
            <w14:scene3d>
              <w14:camera w14:prst="orthographicFront"/>
              <w14:lightRig w14:rig="threePt" w14:dir="t">
                <w14:rot w14:lat="0" w14:lon="0" w14:rev="0"/>
              </w14:lightRig>
            </w14:scene3d>
          </w:rPr>
          <w:t>3.3.1</w:t>
        </w:r>
        <w:r>
          <w:rPr>
            <w:rFonts w:asciiTheme="minorHAnsi" w:eastAsiaTheme="minorEastAsia" w:hAnsiTheme="minorHAnsi" w:cstheme="minorBidi"/>
            <w:noProof/>
            <w:sz w:val="22"/>
            <w:szCs w:val="22"/>
          </w:rPr>
          <w:tab/>
        </w:r>
        <w:r w:rsidRPr="001A79D3">
          <w:rPr>
            <w:rStyle w:val="Hypertextovodkaz"/>
            <w:noProof/>
          </w:rPr>
          <w:t>Nedaňové příjmy</w:t>
        </w:r>
        <w:r>
          <w:rPr>
            <w:noProof/>
            <w:webHidden/>
          </w:rPr>
          <w:tab/>
        </w:r>
        <w:r>
          <w:rPr>
            <w:noProof/>
            <w:webHidden/>
          </w:rPr>
          <w:fldChar w:fldCharType="begin"/>
        </w:r>
        <w:r>
          <w:rPr>
            <w:noProof/>
            <w:webHidden/>
          </w:rPr>
          <w:instrText xml:space="preserve"> PAGEREF _Toc175913886 \h </w:instrText>
        </w:r>
        <w:r>
          <w:rPr>
            <w:noProof/>
            <w:webHidden/>
          </w:rPr>
        </w:r>
        <w:r>
          <w:rPr>
            <w:noProof/>
            <w:webHidden/>
          </w:rPr>
          <w:fldChar w:fldCharType="separate"/>
        </w:r>
        <w:r>
          <w:rPr>
            <w:noProof/>
            <w:webHidden/>
          </w:rPr>
          <w:t>18</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7" w:history="1">
        <w:r w:rsidRPr="001A79D3">
          <w:rPr>
            <w:rStyle w:val="Hypertextovodkaz"/>
            <w:noProof/>
            <w14:scene3d>
              <w14:camera w14:prst="orthographicFront"/>
              <w14:lightRig w14:rig="threePt" w14:dir="t">
                <w14:rot w14:lat="0" w14:lon="0" w14:rev="0"/>
              </w14:lightRig>
            </w14:scene3d>
          </w:rPr>
          <w:t>3.3.2</w:t>
        </w:r>
        <w:r>
          <w:rPr>
            <w:rFonts w:asciiTheme="minorHAnsi" w:eastAsiaTheme="minorEastAsia" w:hAnsiTheme="minorHAnsi" w:cstheme="minorBidi"/>
            <w:noProof/>
            <w:sz w:val="22"/>
            <w:szCs w:val="22"/>
          </w:rPr>
          <w:tab/>
        </w:r>
        <w:r w:rsidRPr="001A79D3">
          <w:rPr>
            <w:rStyle w:val="Hypertextovodkaz"/>
            <w:noProof/>
          </w:rPr>
          <w:t>Kapitálové příjmy</w:t>
        </w:r>
        <w:r>
          <w:rPr>
            <w:noProof/>
            <w:webHidden/>
          </w:rPr>
          <w:tab/>
        </w:r>
        <w:r>
          <w:rPr>
            <w:noProof/>
            <w:webHidden/>
          </w:rPr>
          <w:fldChar w:fldCharType="begin"/>
        </w:r>
        <w:r>
          <w:rPr>
            <w:noProof/>
            <w:webHidden/>
          </w:rPr>
          <w:instrText xml:space="preserve"> PAGEREF _Toc175913887 \h </w:instrText>
        </w:r>
        <w:r>
          <w:rPr>
            <w:noProof/>
            <w:webHidden/>
          </w:rPr>
        </w:r>
        <w:r>
          <w:rPr>
            <w:noProof/>
            <w:webHidden/>
          </w:rPr>
          <w:fldChar w:fldCharType="separate"/>
        </w:r>
        <w:r>
          <w:rPr>
            <w:noProof/>
            <w:webHidden/>
          </w:rPr>
          <w:t>18</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88" w:history="1">
        <w:r w:rsidRPr="001A79D3">
          <w:rPr>
            <w:rStyle w:val="Hypertextovodkaz"/>
            <w:noProof/>
            <w14:scene3d>
              <w14:camera w14:prst="orthographicFront"/>
              <w14:lightRig w14:rig="threePt" w14:dir="t">
                <w14:rot w14:lat="0" w14:lon="0" w14:rev="0"/>
              </w14:lightRig>
            </w14:scene3d>
          </w:rPr>
          <w:t>3.3.3</w:t>
        </w:r>
        <w:r>
          <w:rPr>
            <w:rFonts w:asciiTheme="minorHAnsi" w:eastAsiaTheme="minorEastAsia" w:hAnsiTheme="minorHAnsi" w:cstheme="minorBidi"/>
            <w:noProof/>
            <w:sz w:val="22"/>
            <w:szCs w:val="22"/>
          </w:rPr>
          <w:tab/>
        </w:r>
        <w:r w:rsidRPr="001A79D3">
          <w:rPr>
            <w:rStyle w:val="Hypertextovodkaz"/>
            <w:noProof/>
          </w:rPr>
          <w:t>Přijaté transfery</w:t>
        </w:r>
        <w:r>
          <w:rPr>
            <w:noProof/>
            <w:webHidden/>
          </w:rPr>
          <w:tab/>
        </w:r>
        <w:r>
          <w:rPr>
            <w:noProof/>
            <w:webHidden/>
          </w:rPr>
          <w:fldChar w:fldCharType="begin"/>
        </w:r>
        <w:r>
          <w:rPr>
            <w:noProof/>
            <w:webHidden/>
          </w:rPr>
          <w:instrText xml:space="preserve"> PAGEREF _Toc175913888 \h </w:instrText>
        </w:r>
        <w:r>
          <w:rPr>
            <w:noProof/>
            <w:webHidden/>
          </w:rPr>
        </w:r>
        <w:r>
          <w:rPr>
            <w:noProof/>
            <w:webHidden/>
          </w:rPr>
          <w:fldChar w:fldCharType="separate"/>
        </w:r>
        <w:r>
          <w:rPr>
            <w:noProof/>
            <w:webHidden/>
          </w:rPr>
          <w:t>18</w:t>
        </w:r>
        <w:r>
          <w:rPr>
            <w:noProof/>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889" w:history="1">
        <w:r w:rsidRPr="001A79D3">
          <w:rPr>
            <w:rStyle w:val="Hypertextovodkaz"/>
          </w:rPr>
          <w:t>4</w:t>
        </w:r>
        <w:r>
          <w:rPr>
            <w:rFonts w:asciiTheme="minorHAnsi" w:eastAsiaTheme="minorEastAsia" w:hAnsiTheme="minorHAnsi" w:cstheme="minorBidi"/>
            <w:b w:val="0"/>
            <w:sz w:val="22"/>
            <w:szCs w:val="22"/>
          </w:rPr>
          <w:tab/>
        </w:r>
        <w:r w:rsidRPr="001A79D3">
          <w:rPr>
            <w:rStyle w:val="Hypertextovodkaz"/>
          </w:rPr>
          <w:t>Detailní pohled na výdaje</w:t>
        </w:r>
        <w:r>
          <w:rPr>
            <w:webHidden/>
          </w:rPr>
          <w:tab/>
        </w:r>
        <w:r>
          <w:rPr>
            <w:webHidden/>
          </w:rPr>
          <w:fldChar w:fldCharType="begin"/>
        </w:r>
        <w:r>
          <w:rPr>
            <w:webHidden/>
          </w:rPr>
          <w:instrText xml:space="preserve"> PAGEREF _Toc175913889 \h </w:instrText>
        </w:r>
        <w:r>
          <w:rPr>
            <w:webHidden/>
          </w:rPr>
        </w:r>
        <w:r>
          <w:rPr>
            <w:webHidden/>
          </w:rPr>
          <w:fldChar w:fldCharType="separate"/>
        </w:r>
        <w:r>
          <w:rPr>
            <w:webHidden/>
          </w:rPr>
          <w:t>20</w:t>
        </w:r>
        <w:r>
          <w:rPr>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90" w:history="1">
        <w:r w:rsidRPr="001A79D3">
          <w:rPr>
            <w:rStyle w:val="Hypertextovodkaz"/>
            <w:noProof/>
          </w:rPr>
          <w:t>4.1</w:t>
        </w:r>
        <w:r>
          <w:rPr>
            <w:rFonts w:asciiTheme="minorHAnsi" w:eastAsiaTheme="minorEastAsia" w:hAnsiTheme="minorHAnsi" w:cstheme="minorBidi"/>
            <w:noProof/>
            <w:sz w:val="22"/>
            <w:szCs w:val="22"/>
          </w:rPr>
          <w:tab/>
        </w:r>
        <w:r w:rsidRPr="001A79D3">
          <w:rPr>
            <w:rStyle w:val="Hypertextovodkaz"/>
            <w:noProof/>
          </w:rPr>
          <w:t>Mandatorní výdaje</w:t>
        </w:r>
        <w:r>
          <w:rPr>
            <w:noProof/>
            <w:webHidden/>
          </w:rPr>
          <w:tab/>
        </w:r>
        <w:r>
          <w:rPr>
            <w:noProof/>
            <w:webHidden/>
          </w:rPr>
          <w:fldChar w:fldCharType="begin"/>
        </w:r>
        <w:r>
          <w:rPr>
            <w:noProof/>
            <w:webHidden/>
          </w:rPr>
          <w:instrText xml:space="preserve"> PAGEREF _Toc175913890 \h </w:instrText>
        </w:r>
        <w:r>
          <w:rPr>
            <w:noProof/>
            <w:webHidden/>
          </w:rPr>
        </w:r>
        <w:r>
          <w:rPr>
            <w:noProof/>
            <w:webHidden/>
          </w:rPr>
          <w:fldChar w:fldCharType="separate"/>
        </w:r>
        <w:r>
          <w:rPr>
            <w:noProof/>
            <w:webHidden/>
          </w:rPr>
          <w:t>20</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91" w:history="1">
        <w:r w:rsidRPr="001A79D3">
          <w:rPr>
            <w:rStyle w:val="Hypertextovodkaz"/>
            <w:noProof/>
          </w:rPr>
          <w:t>4.2</w:t>
        </w:r>
        <w:r>
          <w:rPr>
            <w:rFonts w:asciiTheme="minorHAnsi" w:eastAsiaTheme="minorEastAsia" w:hAnsiTheme="minorHAnsi" w:cstheme="minorBidi"/>
            <w:noProof/>
            <w:sz w:val="22"/>
            <w:szCs w:val="22"/>
          </w:rPr>
          <w:tab/>
        </w:r>
        <w:r w:rsidRPr="001A79D3">
          <w:rPr>
            <w:rStyle w:val="Hypertextovodkaz"/>
            <w:noProof/>
          </w:rPr>
          <w:t>Kapitálové výdaje</w:t>
        </w:r>
        <w:r>
          <w:rPr>
            <w:noProof/>
            <w:webHidden/>
          </w:rPr>
          <w:tab/>
        </w:r>
        <w:r>
          <w:rPr>
            <w:noProof/>
            <w:webHidden/>
          </w:rPr>
          <w:fldChar w:fldCharType="begin"/>
        </w:r>
        <w:r>
          <w:rPr>
            <w:noProof/>
            <w:webHidden/>
          </w:rPr>
          <w:instrText xml:space="preserve"> PAGEREF _Toc175913891 \h </w:instrText>
        </w:r>
        <w:r>
          <w:rPr>
            <w:noProof/>
            <w:webHidden/>
          </w:rPr>
        </w:r>
        <w:r>
          <w:rPr>
            <w:noProof/>
            <w:webHidden/>
          </w:rPr>
          <w:fldChar w:fldCharType="separate"/>
        </w:r>
        <w:r>
          <w:rPr>
            <w:noProof/>
            <w:webHidden/>
          </w:rPr>
          <w:t>23</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92" w:history="1">
        <w:r w:rsidRPr="001A79D3">
          <w:rPr>
            <w:rStyle w:val="Hypertextovodkaz"/>
            <w:noProof/>
          </w:rPr>
          <w:t>4.3</w:t>
        </w:r>
        <w:r>
          <w:rPr>
            <w:rFonts w:asciiTheme="minorHAnsi" w:eastAsiaTheme="minorEastAsia" w:hAnsiTheme="minorHAnsi" w:cstheme="minorBidi"/>
            <w:noProof/>
            <w:sz w:val="22"/>
            <w:szCs w:val="22"/>
          </w:rPr>
          <w:tab/>
        </w:r>
        <w:r w:rsidRPr="001A79D3">
          <w:rPr>
            <w:rStyle w:val="Hypertextovodkaz"/>
            <w:noProof/>
          </w:rPr>
          <w:t>Výdaje na sociální transfery a státní politiku zaměstnanosti</w:t>
        </w:r>
        <w:r>
          <w:rPr>
            <w:noProof/>
            <w:webHidden/>
          </w:rPr>
          <w:tab/>
        </w:r>
        <w:r>
          <w:rPr>
            <w:noProof/>
            <w:webHidden/>
          </w:rPr>
          <w:fldChar w:fldCharType="begin"/>
        </w:r>
        <w:r>
          <w:rPr>
            <w:noProof/>
            <w:webHidden/>
          </w:rPr>
          <w:instrText xml:space="preserve"> PAGEREF _Toc175913892 \h </w:instrText>
        </w:r>
        <w:r>
          <w:rPr>
            <w:noProof/>
            <w:webHidden/>
          </w:rPr>
        </w:r>
        <w:r>
          <w:rPr>
            <w:noProof/>
            <w:webHidden/>
          </w:rPr>
          <w:fldChar w:fldCharType="separate"/>
        </w:r>
        <w:r>
          <w:rPr>
            <w:noProof/>
            <w:webHidden/>
          </w:rPr>
          <w:t>24</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93" w:history="1">
        <w:r w:rsidRPr="001A79D3">
          <w:rPr>
            <w:rStyle w:val="Hypertextovodkaz"/>
            <w:noProof/>
          </w:rPr>
          <w:t>4.4</w:t>
        </w:r>
        <w:r>
          <w:rPr>
            <w:rFonts w:asciiTheme="minorHAnsi" w:eastAsiaTheme="minorEastAsia" w:hAnsiTheme="minorHAnsi" w:cstheme="minorBidi"/>
            <w:noProof/>
            <w:sz w:val="22"/>
            <w:szCs w:val="22"/>
          </w:rPr>
          <w:tab/>
        </w:r>
        <w:r w:rsidRPr="001A79D3">
          <w:rPr>
            <w:rStyle w:val="Hypertextovodkaz"/>
            <w:noProof/>
          </w:rPr>
          <w:t>Výdaje na platy zaměstnanců a ostatní platby za provedenou práci</w:t>
        </w:r>
        <w:r>
          <w:rPr>
            <w:noProof/>
            <w:webHidden/>
          </w:rPr>
          <w:tab/>
        </w:r>
        <w:r>
          <w:rPr>
            <w:noProof/>
            <w:webHidden/>
          </w:rPr>
          <w:fldChar w:fldCharType="begin"/>
        </w:r>
        <w:r>
          <w:rPr>
            <w:noProof/>
            <w:webHidden/>
          </w:rPr>
          <w:instrText xml:space="preserve"> PAGEREF _Toc175913893 \h </w:instrText>
        </w:r>
        <w:r>
          <w:rPr>
            <w:noProof/>
            <w:webHidden/>
          </w:rPr>
        </w:r>
        <w:r>
          <w:rPr>
            <w:noProof/>
            <w:webHidden/>
          </w:rPr>
          <w:fldChar w:fldCharType="separate"/>
        </w:r>
        <w:r>
          <w:rPr>
            <w:noProof/>
            <w:webHidden/>
          </w:rPr>
          <w:t>27</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94" w:history="1">
        <w:r w:rsidRPr="001A79D3">
          <w:rPr>
            <w:rStyle w:val="Hypertextovodkaz"/>
            <w:noProof/>
            <w14:scene3d>
              <w14:camera w14:prst="orthographicFront"/>
              <w14:lightRig w14:rig="threePt" w14:dir="t">
                <w14:rot w14:lat="0" w14:lon="0" w14:rev="0"/>
              </w14:lightRig>
            </w14:scene3d>
          </w:rPr>
          <w:t>4.4.1</w:t>
        </w:r>
        <w:r>
          <w:rPr>
            <w:rFonts w:asciiTheme="minorHAnsi" w:eastAsiaTheme="minorEastAsia" w:hAnsiTheme="minorHAnsi" w:cstheme="minorBidi"/>
            <w:noProof/>
            <w:sz w:val="22"/>
            <w:szCs w:val="22"/>
          </w:rPr>
          <w:tab/>
        </w:r>
        <w:r w:rsidRPr="001A79D3">
          <w:rPr>
            <w:rStyle w:val="Hypertextovodkaz"/>
            <w:noProof/>
          </w:rPr>
          <w:t>Vlivy plynoucí z parametrů schváleného střednědobého výhledu na rok 2025</w:t>
        </w:r>
        <w:r>
          <w:rPr>
            <w:noProof/>
            <w:webHidden/>
          </w:rPr>
          <w:tab/>
        </w:r>
        <w:r>
          <w:rPr>
            <w:noProof/>
            <w:webHidden/>
          </w:rPr>
          <w:fldChar w:fldCharType="begin"/>
        </w:r>
        <w:r>
          <w:rPr>
            <w:noProof/>
            <w:webHidden/>
          </w:rPr>
          <w:instrText xml:space="preserve"> PAGEREF _Toc175913894 \h </w:instrText>
        </w:r>
        <w:r>
          <w:rPr>
            <w:noProof/>
            <w:webHidden/>
          </w:rPr>
        </w:r>
        <w:r>
          <w:rPr>
            <w:noProof/>
            <w:webHidden/>
          </w:rPr>
          <w:fldChar w:fldCharType="separate"/>
        </w:r>
        <w:r>
          <w:rPr>
            <w:noProof/>
            <w:webHidden/>
          </w:rPr>
          <w:t>30</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95" w:history="1">
        <w:r w:rsidRPr="001A79D3">
          <w:rPr>
            <w:rStyle w:val="Hypertextovodkaz"/>
            <w:noProof/>
            <w14:scene3d>
              <w14:camera w14:prst="orthographicFront"/>
              <w14:lightRig w14:rig="threePt" w14:dir="t">
                <w14:rot w14:lat="0" w14:lon="0" w14:rev="0"/>
              </w14:lightRig>
            </w14:scene3d>
          </w:rPr>
          <w:t>4.4.2</w:t>
        </w:r>
        <w:r>
          <w:rPr>
            <w:rFonts w:asciiTheme="minorHAnsi" w:eastAsiaTheme="minorEastAsia" w:hAnsiTheme="minorHAnsi" w:cstheme="minorBidi"/>
            <w:noProof/>
            <w:sz w:val="22"/>
            <w:szCs w:val="22"/>
          </w:rPr>
          <w:tab/>
        </w:r>
        <w:r w:rsidRPr="001A79D3">
          <w:rPr>
            <w:rStyle w:val="Hypertextovodkaz"/>
            <w:noProof/>
          </w:rPr>
          <w:t>Vlivy nad rámec schváleného střednědobého výhledu na rok 2025</w:t>
        </w:r>
        <w:r>
          <w:rPr>
            <w:noProof/>
            <w:webHidden/>
          </w:rPr>
          <w:tab/>
        </w:r>
        <w:r>
          <w:rPr>
            <w:noProof/>
            <w:webHidden/>
          </w:rPr>
          <w:fldChar w:fldCharType="begin"/>
        </w:r>
        <w:r>
          <w:rPr>
            <w:noProof/>
            <w:webHidden/>
          </w:rPr>
          <w:instrText xml:space="preserve"> PAGEREF _Toc175913895 \h </w:instrText>
        </w:r>
        <w:r>
          <w:rPr>
            <w:noProof/>
            <w:webHidden/>
          </w:rPr>
        </w:r>
        <w:r>
          <w:rPr>
            <w:noProof/>
            <w:webHidden/>
          </w:rPr>
          <w:fldChar w:fldCharType="separate"/>
        </w:r>
        <w:r>
          <w:rPr>
            <w:noProof/>
            <w:webHidden/>
          </w:rPr>
          <w:t>30</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96" w:history="1">
        <w:r w:rsidRPr="001A79D3">
          <w:rPr>
            <w:rStyle w:val="Hypertextovodkaz"/>
            <w:noProof/>
            <w14:scene3d>
              <w14:camera w14:prst="orthographicFront"/>
              <w14:lightRig w14:rig="threePt" w14:dir="t">
                <w14:rot w14:lat="0" w14:lon="0" w14:rev="0"/>
              </w14:lightRig>
            </w14:scene3d>
          </w:rPr>
          <w:t>4.4.3</w:t>
        </w:r>
        <w:r>
          <w:rPr>
            <w:rFonts w:asciiTheme="minorHAnsi" w:eastAsiaTheme="minorEastAsia" w:hAnsiTheme="minorHAnsi" w:cstheme="minorBidi"/>
            <w:noProof/>
            <w:sz w:val="22"/>
            <w:szCs w:val="22"/>
          </w:rPr>
          <w:tab/>
        </w:r>
        <w:r w:rsidRPr="001A79D3">
          <w:rPr>
            <w:rStyle w:val="Hypertextovodkaz"/>
            <w:noProof/>
          </w:rPr>
          <w:t>Spolufinancování z Evropské unie a finančních mechanismů (EU/FM)</w:t>
        </w:r>
        <w:r>
          <w:rPr>
            <w:noProof/>
            <w:webHidden/>
          </w:rPr>
          <w:tab/>
        </w:r>
        <w:r>
          <w:rPr>
            <w:noProof/>
            <w:webHidden/>
          </w:rPr>
          <w:fldChar w:fldCharType="begin"/>
        </w:r>
        <w:r>
          <w:rPr>
            <w:noProof/>
            <w:webHidden/>
          </w:rPr>
          <w:instrText xml:space="preserve"> PAGEREF _Toc175913896 \h </w:instrText>
        </w:r>
        <w:r>
          <w:rPr>
            <w:noProof/>
            <w:webHidden/>
          </w:rPr>
        </w:r>
        <w:r>
          <w:rPr>
            <w:noProof/>
            <w:webHidden/>
          </w:rPr>
          <w:fldChar w:fldCharType="separate"/>
        </w:r>
        <w:r>
          <w:rPr>
            <w:noProof/>
            <w:webHidden/>
          </w:rPr>
          <w:t>31</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97" w:history="1">
        <w:r w:rsidRPr="001A79D3">
          <w:rPr>
            <w:rStyle w:val="Hypertextovodkaz"/>
            <w:noProof/>
            <w14:scene3d>
              <w14:camera w14:prst="orthographicFront"/>
              <w14:lightRig w14:rig="threePt" w14:dir="t">
                <w14:rot w14:lat="0" w14:lon="0" w14:rev="0"/>
              </w14:lightRig>
            </w14:scene3d>
          </w:rPr>
          <w:t>4.4.4</w:t>
        </w:r>
        <w:r>
          <w:rPr>
            <w:rFonts w:asciiTheme="minorHAnsi" w:eastAsiaTheme="minorEastAsia" w:hAnsiTheme="minorHAnsi" w:cstheme="minorBidi"/>
            <w:noProof/>
            <w:sz w:val="22"/>
            <w:szCs w:val="22"/>
          </w:rPr>
          <w:tab/>
        </w:r>
        <w:r w:rsidRPr="001A79D3">
          <w:rPr>
            <w:rStyle w:val="Hypertextovodkaz"/>
            <w:noProof/>
          </w:rPr>
          <w:t>Průměrné platy</w:t>
        </w:r>
        <w:r>
          <w:rPr>
            <w:noProof/>
            <w:webHidden/>
          </w:rPr>
          <w:tab/>
        </w:r>
        <w:r>
          <w:rPr>
            <w:noProof/>
            <w:webHidden/>
          </w:rPr>
          <w:fldChar w:fldCharType="begin"/>
        </w:r>
        <w:r>
          <w:rPr>
            <w:noProof/>
            <w:webHidden/>
          </w:rPr>
          <w:instrText xml:space="preserve"> PAGEREF _Toc175913897 \h </w:instrText>
        </w:r>
        <w:r>
          <w:rPr>
            <w:noProof/>
            <w:webHidden/>
          </w:rPr>
        </w:r>
        <w:r>
          <w:rPr>
            <w:noProof/>
            <w:webHidden/>
          </w:rPr>
          <w:fldChar w:fldCharType="separate"/>
        </w:r>
        <w:r>
          <w:rPr>
            <w:noProof/>
            <w:webHidden/>
          </w:rPr>
          <w:t>33</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898" w:history="1">
        <w:r w:rsidRPr="001A79D3">
          <w:rPr>
            <w:rStyle w:val="Hypertextovodkaz"/>
            <w:noProof/>
          </w:rPr>
          <w:t>4.5</w:t>
        </w:r>
        <w:r>
          <w:rPr>
            <w:rFonts w:asciiTheme="minorHAnsi" w:eastAsiaTheme="minorEastAsia" w:hAnsiTheme="minorHAnsi" w:cstheme="minorBidi"/>
            <w:noProof/>
            <w:sz w:val="22"/>
            <w:szCs w:val="22"/>
          </w:rPr>
          <w:tab/>
        </w:r>
        <w:r w:rsidRPr="001A79D3">
          <w:rPr>
            <w:rStyle w:val="Hypertextovodkaz"/>
            <w:noProof/>
          </w:rPr>
          <w:t>Běžné výdaje</w:t>
        </w:r>
        <w:r>
          <w:rPr>
            <w:noProof/>
            <w:webHidden/>
          </w:rPr>
          <w:tab/>
        </w:r>
        <w:r>
          <w:rPr>
            <w:noProof/>
            <w:webHidden/>
          </w:rPr>
          <w:fldChar w:fldCharType="begin"/>
        </w:r>
        <w:r>
          <w:rPr>
            <w:noProof/>
            <w:webHidden/>
          </w:rPr>
          <w:instrText xml:space="preserve"> PAGEREF _Toc175913898 \h </w:instrText>
        </w:r>
        <w:r>
          <w:rPr>
            <w:noProof/>
            <w:webHidden/>
          </w:rPr>
        </w:r>
        <w:r>
          <w:rPr>
            <w:noProof/>
            <w:webHidden/>
          </w:rPr>
          <w:fldChar w:fldCharType="separate"/>
        </w:r>
        <w:r>
          <w:rPr>
            <w:noProof/>
            <w:webHidden/>
          </w:rPr>
          <w:t>34</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899" w:history="1">
        <w:r w:rsidRPr="001A79D3">
          <w:rPr>
            <w:rStyle w:val="Hypertextovodkaz"/>
            <w:noProof/>
            <w14:scene3d>
              <w14:camera w14:prst="orthographicFront"/>
              <w14:lightRig w14:rig="threePt" w14:dir="t">
                <w14:rot w14:lat="0" w14:lon="0" w14:rev="0"/>
              </w14:lightRig>
            </w14:scene3d>
          </w:rPr>
          <w:t>4.5.1</w:t>
        </w:r>
        <w:r>
          <w:rPr>
            <w:rFonts w:asciiTheme="minorHAnsi" w:eastAsiaTheme="minorEastAsia" w:hAnsiTheme="minorHAnsi" w:cstheme="minorBidi"/>
            <w:noProof/>
            <w:sz w:val="22"/>
            <w:szCs w:val="22"/>
          </w:rPr>
          <w:tab/>
        </w:r>
        <w:r w:rsidRPr="001A79D3">
          <w:rPr>
            <w:rStyle w:val="Hypertextovodkaz"/>
            <w:noProof/>
          </w:rPr>
          <w:t>Běžné výdaje na provoz organizačních složek státu</w:t>
        </w:r>
        <w:r>
          <w:rPr>
            <w:noProof/>
            <w:webHidden/>
          </w:rPr>
          <w:tab/>
        </w:r>
        <w:r>
          <w:rPr>
            <w:noProof/>
            <w:webHidden/>
          </w:rPr>
          <w:fldChar w:fldCharType="begin"/>
        </w:r>
        <w:r>
          <w:rPr>
            <w:noProof/>
            <w:webHidden/>
          </w:rPr>
          <w:instrText xml:space="preserve"> PAGEREF _Toc175913899 \h </w:instrText>
        </w:r>
        <w:r>
          <w:rPr>
            <w:noProof/>
            <w:webHidden/>
          </w:rPr>
        </w:r>
        <w:r>
          <w:rPr>
            <w:noProof/>
            <w:webHidden/>
          </w:rPr>
          <w:fldChar w:fldCharType="separate"/>
        </w:r>
        <w:r>
          <w:rPr>
            <w:noProof/>
            <w:webHidden/>
          </w:rPr>
          <w:t>35</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0" w:history="1">
        <w:r w:rsidRPr="001A79D3">
          <w:rPr>
            <w:rStyle w:val="Hypertextovodkaz"/>
            <w:noProof/>
          </w:rPr>
          <w:t>4.6</w:t>
        </w:r>
        <w:r>
          <w:rPr>
            <w:rFonts w:asciiTheme="minorHAnsi" w:eastAsiaTheme="minorEastAsia" w:hAnsiTheme="minorHAnsi" w:cstheme="minorBidi"/>
            <w:noProof/>
            <w:sz w:val="22"/>
            <w:szCs w:val="22"/>
          </w:rPr>
          <w:tab/>
        </w:r>
        <w:r w:rsidRPr="001A79D3">
          <w:rPr>
            <w:rStyle w:val="Hypertextovodkaz"/>
            <w:noProof/>
          </w:rPr>
          <w:t>Výdaje na financování programů</w:t>
        </w:r>
        <w:r>
          <w:rPr>
            <w:noProof/>
            <w:webHidden/>
          </w:rPr>
          <w:tab/>
        </w:r>
        <w:r>
          <w:rPr>
            <w:noProof/>
            <w:webHidden/>
          </w:rPr>
          <w:fldChar w:fldCharType="begin"/>
        </w:r>
        <w:r>
          <w:rPr>
            <w:noProof/>
            <w:webHidden/>
          </w:rPr>
          <w:instrText xml:space="preserve"> PAGEREF _Toc175913900 \h </w:instrText>
        </w:r>
        <w:r>
          <w:rPr>
            <w:noProof/>
            <w:webHidden/>
          </w:rPr>
        </w:r>
        <w:r>
          <w:rPr>
            <w:noProof/>
            <w:webHidden/>
          </w:rPr>
          <w:fldChar w:fldCharType="separate"/>
        </w:r>
        <w:r>
          <w:rPr>
            <w:noProof/>
            <w:webHidden/>
          </w:rPr>
          <w:t>40</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1" w:history="1">
        <w:r w:rsidRPr="001A79D3">
          <w:rPr>
            <w:rStyle w:val="Hypertextovodkaz"/>
            <w:noProof/>
          </w:rPr>
          <w:t>4.7</w:t>
        </w:r>
        <w:r>
          <w:rPr>
            <w:rFonts w:asciiTheme="minorHAnsi" w:eastAsiaTheme="minorEastAsia" w:hAnsiTheme="minorHAnsi" w:cstheme="minorBidi"/>
            <w:noProof/>
            <w:sz w:val="22"/>
            <w:szCs w:val="22"/>
          </w:rPr>
          <w:tab/>
        </w:r>
        <w:r w:rsidRPr="001A79D3">
          <w:rPr>
            <w:rStyle w:val="Hypertextovodkaz"/>
            <w:noProof/>
          </w:rPr>
          <w:t>Výdaje na neinvestiční transfery podnikatelským subjektům</w:t>
        </w:r>
        <w:r>
          <w:rPr>
            <w:noProof/>
            <w:webHidden/>
          </w:rPr>
          <w:tab/>
        </w:r>
        <w:r>
          <w:rPr>
            <w:noProof/>
            <w:webHidden/>
          </w:rPr>
          <w:fldChar w:fldCharType="begin"/>
        </w:r>
        <w:r>
          <w:rPr>
            <w:noProof/>
            <w:webHidden/>
          </w:rPr>
          <w:instrText xml:space="preserve"> PAGEREF _Toc175913901 \h </w:instrText>
        </w:r>
        <w:r>
          <w:rPr>
            <w:noProof/>
            <w:webHidden/>
          </w:rPr>
        </w:r>
        <w:r>
          <w:rPr>
            <w:noProof/>
            <w:webHidden/>
          </w:rPr>
          <w:fldChar w:fldCharType="separate"/>
        </w:r>
        <w:r>
          <w:rPr>
            <w:noProof/>
            <w:webHidden/>
          </w:rPr>
          <w:t>41</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2" w:history="1">
        <w:r w:rsidRPr="001A79D3">
          <w:rPr>
            <w:rStyle w:val="Hypertextovodkaz"/>
            <w:noProof/>
          </w:rPr>
          <w:t>4.8</w:t>
        </w:r>
        <w:r>
          <w:rPr>
            <w:rFonts w:asciiTheme="minorHAnsi" w:eastAsiaTheme="minorEastAsia" w:hAnsiTheme="minorHAnsi" w:cstheme="minorBidi"/>
            <w:noProof/>
            <w:sz w:val="22"/>
            <w:szCs w:val="22"/>
          </w:rPr>
          <w:tab/>
        </w:r>
        <w:r w:rsidRPr="001A79D3">
          <w:rPr>
            <w:rStyle w:val="Hypertextovodkaz"/>
            <w:noProof/>
          </w:rPr>
          <w:t>Výdaje státu na podporu činnosti nestátních neziskových organizací</w:t>
        </w:r>
        <w:r>
          <w:rPr>
            <w:noProof/>
            <w:webHidden/>
          </w:rPr>
          <w:tab/>
        </w:r>
        <w:r>
          <w:rPr>
            <w:noProof/>
            <w:webHidden/>
          </w:rPr>
          <w:fldChar w:fldCharType="begin"/>
        </w:r>
        <w:r>
          <w:rPr>
            <w:noProof/>
            <w:webHidden/>
          </w:rPr>
          <w:instrText xml:space="preserve"> PAGEREF _Toc175913902 \h </w:instrText>
        </w:r>
        <w:r>
          <w:rPr>
            <w:noProof/>
            <w:webHidden/>
          </w:rPr>
        </w:r>
        <w:r>
          <w:rPr>
            <w:noProof/>
            <w:webHidden/>
          </w:rPr>
          <w:fldChar w:fldCharType="separate"/>
        </w:r>
        <w:r>
          <w:rPr>
            <w:noProof/>
            <w:webHidden/>
          </w:rPr>
          <w:t>42</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3" w:history="1">
        <w:r w:rsidRPr="001A79D3">
          <w:rPr>
            <w:rStyle w:val="Hypertextovodkaz"/>
            <w:noProof/>
          </w:rPr>
          <w:t>4.9</w:t>
        </w:r>
        <w:r>
          <w:rPr>
            <w:rFonts w:asciiTheme="minorHAnsi" w:eastAsiaTheme="minorEastAsia" w:hAnsiTheme="minorHAnsi" w:cstheme="minorBidi"/>
            <w:noProof/>
            <w:sz w:val="22"/>
            <w:szCs w:val="22"/>
          </w:rPr>
          <w:tab/>
        </w:r>
        <w:r w:rsidRPr="001A79D3">
          <w:rPr>
            <w:rStyle w:val="Hypertextovodkaz"/>
            <w:noProof/>
          </w:rPr>
          <w:t>Státní záruky</w:t>
        </w:r>
        <w:r>
          <w:rPr>
            <w:noProof/>
            <w:webHidden/>
          </w:rPr>
          <w:tab/>
        </w:r>
        <w:r>
          <w:rPr>
            <w:noProof/>
            <w:webHidden/>
          </w:rPr>
          <w:fldChar w:fldCharType="begin"/>
        </w:r>
        <w:r>
          <w:rPr>
            <w:noProof/>
            <w:webHidden/>
          </w:rPr>
          <w:instrText xml:space="preserve"> PAGEREF _Toc175913903 \h </w:instrText>
        </w:r>
        <w:r>
          <w:rPr>
            <w:noProof/>
            <w:webHidden/>
          </w:rPr>
        </w:r>
        <w:r>
          <w:rPr>
            <w:noProof/>
            <w:webHidden/>
          </w:rPr>
          <w:fldChar w:fldCharType="separate"/>
        </w:r>
        <w:r>
          <w:rPr>
            <w:noProof/>
            <w:webHidden/>
          </w:rPr>
          <w:t>44</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4" w:history="1">
        <w:r w:rsidRPr="001A79D3">
          <w:rPr>
            <w:rStyle w:val="Hypertextovodkaz"/>
            <w:noProof/>
          </w:rPr>
          <w:t>4.10</w:t>
        </w:r>
        <w:r>
          <w:rPr>
            <w:rFonts w:asciiTheme="minorHAnsi" w:eastAsiaTheme="minorEastAsia" w:hAnsiTheme="minorHAnsi" w:cstheme="minorBidi"/>
            <w:noProof/>
            <w:sz w:val="22"/>
            <w:szCs w:val="22"/>
          </w:rPr>
          <w:tab/>
        </w:r>
        <w:r w:rsidRPr="001A79D3">
          <w:rPr>
            <w:rStyle w:val="Hypertextovodkaz"/>
            <w:noProof/>
          </w:rPr>
          <w:t>Výdaje na výzkum, vývoj a inovace</w:t>
        </w:r>
        <w:r>
          <w:rPr>
            <w:noProof/>
            <w:webHidden/>
          </w:rPr>
          <w:tab/>
        </w:r>
        <w:r>
          <w:rPr>
            <w:noProof/>
            <w:webHidden/>
          </w:rPr>
          <w:fldChar w:fldCharType="begin"/>
        </w:r>
        <w:r>
          <w:rPr>
            <w:noProof/>
            <w:webHidden/>
          </w:rPr>
          <w:instrText xml:space="preserve"> PAGEREF _Toc175913904 \h </w:instrText>
        </w:r>
        <w:r>
          <w:rPr>
            <w:noProof/>
            <w:webHidden/>
          </w:rPr>
        </w:r>
        <w:r>
          <w:rPr>
            <w:noProof/>
            <w:webHidden/>
          </w:rPr>
          <w:fldChar w:fldCharType="separate"/>
        </w:r>
        <w:r>
          <w:rPr>
            <w:noProof/>
            <w:webHidden/>
          </w:rPr>
          <w:t>44</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5" w:history="1">
        <w:r w:rsidRPr="001A79D3">
          <w:rPr>
            <w:rStyle w:val="Hypertextovodkaz"/>
            <w:noProof/>
          </w:rPr>
          <w:t>4.11</w:t>
        </w:r>
        <w:r>
          <w:rPr>
            <w:rFonts w:asciiTheme="minorHAnsi" w:eastAsiaTheme="minorEastAsia" w:hAnsiTheme="minorHAnsi" w:cstheme="minorBidi"/>
            <w:noProof/>
            <w:sz w:val="22"/>
            <w:szCs w:val="22"/>
          </w:rPr>
          <w:tab/>
        </w:r>
        <w:r w:rsidRPr="001A79D3">
          <w:rPr>
            <w:rStyle w:val="Hypertextovodkaz"/>
            <w:noProof/>
          </w:rPr>
          <w:t>Výdaje na obranu státu</w:t>
        </w:r>
        <w:r>
          <w:rPr>
            <w:noProof/>
            <w:webHidden/>
          </w:rPr>
          <w:tab/>
        </w:r>
        <w:r>
          <w:rPr>
            <w:noProof/>
            <w:webHidden/>
          </w:rPr>
          <w:fldChar w:fldCharType="begin"/>
        </w:r>
        <w:r>
          <w:rPr>
            <w:noProof/>
            <w:webHidden/>
          </w:rPr>
          <w:instrText xml:space="preserve"> PAGEREF _Toc175913905 \h </w:instrText>
        </w:r>
        <w:r>
          <w:rPr>
            <w:noProof/>
            <w:webHidden/>
          </w:rPr>
        </w:r>
        <w:r>
          <w:rPr>
            <w:noProof/>
            <w:webHidden/>
          </w:rPr>
          <w:fldChar w:fldCharType="separate"/>
        </w:r>
        <w:r>
          <w:rPr>
            <w:noProof/>
            <w:webHidden/>
          </w:rPr>
          <w:t>46</w:t>
        </w:r>
        <w:r>
          <w:rPr>
            <w:noProof/>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906" w:history="1">
        <w:r w:rsidRPr="001A79D3">
          <w:rPr>
            <w:rStyle w:val="Hypertextovodkaz"/>
          </w:rPr>
          <w:t>5</w:t>
        </w:r>
        <w:r>
          <w:rPr>
            <w:rFonts w:asciiTheme="minorHAnsi" w:eastAsiaTheme="minorEastAsia" w:hAnsiTheme="minorHAnsi" w:cstheme="minorBidi"/>
            <w:b w:val="0"/>
            <w:sz w:val="22"/>
            <w:szCs w:val="22"/>
          </w:rPr>
          <w:tab/>
        </w:r>
        <w:r w:rsidRPr="001A79D3">
          <w:rPr>
            <w:rStyle w:val="Hypertextovodkaz"/>
          </w:rPr>
          <w:t>Komentáře k rozpočtům vybraných kapitol státního rozpočtu</w:t>
        </w:r>
        <w:r>
          <w:rPr>
            <w:webHidden/>
          </w:rPr>
          <w:tab/>
        </w:r>
        <w:r>
          <w:rPr>
            <w:webHidden/>
          </w:rPr>
          <w:fldChar w:fldCharType="begin"/>
        </w:r>
        <w:r>
          <w:rPr>
            <w:webHidden/>
          </w:rPr>
          <w:instrText xml:space="preserve"> PAGEREF _Toc175913906 \h </w:instrText>
        </w:r>
        <w:r>
          <w:rPr>
            <w:webHidden/>
          </w:rPr>
        </w:r>
        <w:r>
          <w:rPr>
            <w:webHidden/>
          </w:rPr>
          <w:fldChar w:fldCharType="separate"/>
        </w:r>
        <w:r>
          <w:rPr>
            <w:webHidden/>
          </w:rPr>
          <w:t>47</w:t>
        </w:r>
        <w:r>
          <w:rPr>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7" w:history="1">
        <w:r w:rsidRPr="001A79D3">
          <w:rPr>
            <w:rStyle w:val="Hypertextovodkaz"/>
            <w:noProof/>
          </w:rPr>
          <w:t>5.1</w:t>
        </w:r>
        <w:r>
          <w:rPr>
            <w:rFonts w:asciiTheme="minorHAnsi" w:eastAsiaTheme="minorEastAsia" w:hAnsiTheme="minorHAnsi" w:cstheme="minorBidi"/>
            <w:noProof/>
            <w:sz w:val="22"/>
            <w:szCs w:val="22"/>
          </w:rPr>
          <w:tab/>
        </w:r>
        <w:r w:rsidRPr="001A79D3">
          <w:rPr>
            <w:rStyle w:val="Hypertextovodkaz"/>
            <w:noProof/>
          </w:rPr>
          <w:t>Komentář k rozpočtu kapitoly Ministerstvo vnitra</w:t>
        </w:r>
        <w:r>
          <w:rPr>
            <w:noProof/>
            <w:webHidden/>
          </w:rPr>
          <w:tab/>
        </w:r>
        <w:r>
          <w:rPr>
            <w:noProof/>
            <w:webHidden/>
          </w:rPr>
          <w:fldChar w:fldCharType="begin"/>
        </w:r>
        <w:r>
          <w:rPr>
            <w:noProof/>
            <w:webHidden/>
          </w:rPr>
          <w:instrText xml:space="preserve"> PAGEREF _Toc175913907 \h </w:instrText>
        </w:r>
        <w:r>
          <w:rPr>
            <w:noProof/>
            <w:webHidden/>
          </w:rPr>
        </w:r>
        <w:r>
          <w:rPr>
            <w:noProof/>
            <w:webHidden/>
          </w:rPr>
          <w:fldChar w:fldCharType="separate"/>
        </w:r>
        <w:r>
          <w:rPr>
            <w:noProof/>
            <w:webHidden/>
          </w:rPr>
          <w:t>47</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8" w:history="1">
        <w:r w:rsidRPr="001A79D3">
          <w:rPr>
            <w:rStyle w:val="Hypertextovodkaz"/>
            <w:noProof/>
          </w:rPr>
          <w:t>5.2</w:t>
        </w:r>
        <w:r>
          <w:rPr>
            <w:rFonts w:asciiTheme="minorHAnsi" w:eastAsiaTheme="minorEastAsia" w:hAnsiTheme="minorHAnsi" w:cstheme="minorBidi"/>
            <w:noProof/>
            <w:sz w:val="22"/>
            <w:szCs w:val="22"/>
          </w:rPr>
          <w:tab/>
        </w:r>
        <w:r w:rsidRPr="001A79D3">
          <w:rPr>
            <w:rStyle w:val="Hypertextovodkaz"/>
            <w:noProof/>
          </w:rPr>
          <w:t>Komentář k rozpočtu kapitoly Ministerstvo životního prostředí</w:t>
        </w:r>
        <w:r>
          <w:rPr>
            <w:noProof/>
            <w:webHidden/>
          </w:rPr>
          <w:tab/>
        </w:r>
        <w:r>
          <w:rPr>
            <w:noProof/>
            <w:webHidden/>
          </w:rPr>
          <w:fldChar w:fldCharType="begin"/>
        </w:r>
        <w:r>
          <w:rPr>
            <w:noProof/>
            <w:webHidden/>
          </w:rPr>
          <w:instrText xml:space="preserve"> PAGEREF _Toc175913908 \h </w:instrText>
        </w:r>
        <w:r>
          <w:rPr>
            <w:noProof/>
            <w:webHidden/>
          </w:rPr>
        </w:r>
        <w:r>
          <w:rPr>
            <w:noProof/>
            <w:webHidden/>
          </w:rPr>
          <w:fldChar w:fldCharType="separate"/>
        </w:r>
        <w:r>
          <w:rPr>
            <w:noProof/>
            <w:webHidden/>
          </w:rPr>
          <w:t>47</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09" w:history="1">
        <w:r w:rsidRPr="001A79D3">
          <w:rPr>
            <w:rStyle w:val="Hypertextovodkaz"/>
            <w:noProof/>
          </w:rPr>
          <w:t>5.3</w:t>
        </w:r>
        <w:r>
          <w:rPr>
            <w:rFonts w:asciiTheme="minorHAnsi" w:eastAsiaTheme="minorEastAsia" w:hAnsiTheme="minorHAnsi" w:cstheme="minorBidi"/>
            <w:noProof/>
            <w:sz w:val="22"/>
            <w:szCs w:val="22"/>
          </w:rPr>
          <w:tab/>
        </w:r>
        <w:r w:rsidRPr="001A79D3">
          <w:rPr>
            <w:rStyle w:val="Hypertextovodkaz"/>
            <w:noProof/>
          </w:rPr>
          <w:t>Komentář k rozpočtu kapitoly Ministerstvo pro místní rozvoj</w:t>
        </w:r>
        <w:r>
          <w:rPr>
            <w:noProof/>
            <w:webHidden/>
          </w:rPr>
          <w:tab/>
        </w:r>
        <w:r>
          <w:rPr>
            <w:noProof/>
            <w:webHidden/>
          </w:rPr>
          <w:fldChar w:fldCharType="begin"/>
        </w:r>
        <w:r>
          <w:rPr>
            <w:noProof/>
            <w:webHidden/>
          </w:rPr>
          <w:instrText xml:space="preserve"> PAGEREF _Toc175913909 \h </w:instrText>
        </w:r>
        <w:r>
          <w:rPr>
            <w:noProof/>
            <w:webHidden/>
          </w:rPr>
        </w:r>
        <w:r>
          <w:rPr>
            <w:noProof/>
            <w:webHidden/>
          </w:rPr>
          <w:fldChar w:fldCharType="separate"/>
        </w:r>
        <w:r>
          <w:rPr>
            <w:noProof/>
            <w:webHidden/>
          </w:rPr>
          <w:t>47</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0" w:history="1">
        <w:r w:rsidRPr="001A79D3">
          <w:rPr>
            <w:rStyle w:val="Hypertextovodkaz"/>
            <w:noProof/>
          </w:rPr>
          <w:t>5.4</w:t>
        </w:r>
        <w:r>
          <w:rPr>
            <w:rFonts w:asciiTheme="minorHAnsi" w:eastAsiaTheme="minorEastAsia" w:hAnsiTheme="minorHAnsi" w:cstheme="minorBidi"/>
            <w:noProof/>
            <w:sz w:val="22"/>
            <w:szCs w:val="22"/>
          </w:rPr>
          <w:tab/>
        </w:r>
        <w:r w:rsidRPr="001A79D3">
          <w:rPr>
            <w:rStyle w:val="Hypertextovodkaz"/>
            <w:noProof/>
          </w:rPr>
          <w:t>Komentář k rozpočtu kapitoly Ministerstvo průmyslu a obchodu</w:t>
        </w:r>
        <w:r>
          <w:rPr>
            <w:noProof/>
            <w:webHidden/>
          </w:rPr>
          <w:tab/>
        </w:r>
        <w:r>
          <w:rPr>
            <w:noProof/>
            <w:webHidden/>
          </w:rPr>
          <w:fldChar w:fldCharType="begin"/>
        </w:r>
        <w:r>
          <w:rPr>
            <w:noProof/>
            <w:webHidden/>
          </w:rPr>
          <w:instrText xml:space="preserve"> PAGEREF _Toc175913910 \h </w:instrText>
        </w:r>
        <w:r>
          <w:rPr>
            <w:noProof/>
            <w:webHidden/>
          </w:rPr>
        </w:r>
        <w:r>
          <w:rPr>
            <w:noProof/>
            <w:webHidden/>
          </w:rPr>
          <w:fldChar w:fldCharType="separate"/>
        </w:r>
        <w:r>
          <w:rPr>
            <w:noProof/>
            <w:webHidden/>
          </w:rPr>
          <w:t>48</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1" w:history="1">
        <w:r w:rsidRPr="001A79D3">
          <w:rPr>
            <w:rStyle w:val="Hypertextovodkaz"/>
            <w:noProof/>
          </w:rPr>
          <w:t>5.5</w:t>
        </w:r>
        <w:r>
          <w:rPr>
            <w:rFonts w:asciiTheme="minorHAnsi" w:eastAsiaTheme="minorEastAsia" w:hAnsiTheme="minorHAnsi" w:cstheme="minorBidi"/>
            <w:noProof/>
            <w:sz w:val="22"/>
            <w:szCs w:val="22"/>
          </w:rPr>
          <w:tab/>
        </w:r>
        <w:r w:rsidRPr="001A79D3">
          <w:rPr>
            <w:rStyle w:val="Hypertextovodkaz"/>
            <w:noProof/>
          </w:rPr>
          <w:t>Komentář k rozpočtu kapitoly Ministerstvo dopravy</w:t>
        </w:r>
        <w:r>
          <w:rPr>
            <w:noProof/>
            <w:webHidden/>
          </w:rPr>
          <w:tab/>
        </w:r>
        <w:r>
          <w:rPr>
            <w:noProof/>
            <w:webHidden/>
          </w:rPr>
          <w:fldChar w:fldCharType="begin"/>
        </w:r>
        <w:r>
          <w:rPr>
            <w:noProof/>
            <w:webHidden/>
          </w:rPr>
          <w:instrText xml:space="preserve"> PAGEREF _Toc175913911 \h </w:instrText>
        </w:r>
        <w:r>
          <w:rPr>
            <w:noProof/>
            <w:webHidden/>
          </w:rPr>
        </w:r>
        <w:r>
          <w:rPr>
            <w:noProof/>
            <w:webHidden/>
          </w:rPr>
          <w:fldChar w:fldCharType="separate"/>
        </w:r>
        <w:r>
          <w:rPr>
            <w:noProof/>
            <w:webHidden/>
          </w:rPr>
          <w:t>48</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2" w:history="1">
        <w:r w:rsidRPr="001A79D3">
          <w:rPr>
            <w:rStyle w:val="Hypertextovodkaz"/>
            <w:noProof/>
          </w:rPr>
          <w:t>5.6</w:t>
        </w:r>
        <w:r>
          <w:rPr>
            <w:rFonts w:asciiTheme="minorHAnsi" w:eastAsiaTheme="minorEastAsia" w:hAnsiTheme="minorHAnsi" w:cstheme="minorBidi"/>
            <w:noProof/>
            <w:sz w:val="22"/>
            <w:szCs w:val="22"/>
          </w:rPr>
          <w:tab/>
        </w:r>
        <w:r w:rsidRPr="001A79D3">
          <w:rPr>
            <w:rStyle w:val="Hypertextovodkaz"/>
            <w:noProof/>
          </w:rPr>
          <w:t>Komentář k rozpočtu kapitoly Ministerstvo zemědělství</w:t>
        </w:r>
        <w:r>
          <w:rPr>
            <w:noProof/>
            <w:webHidden/>
          </w:rPr>
          <w:tab/>
        </w:r>
        <w:r>
          <w:rPr>
            <w:noProof/>
            <w:webHidden/>
          </w:rPr>
          <w:fldChar w:fldCharType="begin"/>
        </w:r>
        <w:r>
          <w:rPr>
            <w:noProof/>
            <w:webHidden/>
          </w:rPr>
          <w:instrText xml:space="preserve"> PAGEREF _Toc175913912 \h </w:instrText>
        </w:r>
        <w:r>
          <w:rPr>
            <w:noProof/>
            <w:webHidden/>
          </w:rPr>
        </w:r>
        <w:r>
          <w:rPr>
            <w:noProof/>
            <w:webHidden/>
          </w:rPr>
          <w:fldChar w:fldCharType="separate"/>
        </w:r>
        <w:r>
          <w:rPr>
            <w:noProof/>
            <w:webHidden/>
          </w:rPr>
          <w:t>48</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3" w:history="1">
        <w:r w:rsidRPr="001A79D3">
          <w:rPr>
            <w:rStyle w:val="Hypertextovodkaz"/>
            <w:noProof/>
          </w:rPr>
          <w:t>5.7</w:t>
        </w:r>
        <w:r>
          <w:rPr>
            <w:rFonts w:asciiTheme="minorHAnsi" w:eastAsiaTheme="minorEastAsia" w:hAnsiTheme="minorHAnsi" w:cstheme="minorBidi"/>
            <w:noProof/>
            <w:sz w:val="22"/>
            <w:szCs w:val="22"/>
          </w:rPr>
          <w:tab/>
        </w:r>
        <w:r w:rsidRPr="001A79D3">
          <w:rPr>
            <w:rStyle w:val="Hypertextovodkaz"/>
            <w:noProof/>
          </w:rPr>
          <w:t>Komentář k rozpočtu kapitoly Ministerstvo školství, mládeže a tělovýchovy</w:t>
        </w:r>
        <w:r>
          <w:rPr>
            <w:noProof/>
            <w:webHidden/>
          </w:rPr>
          <w:tab/>
        </w:r>
        <w:r>
          <w:rPr>
            <w:noProof/>
            <w:webHidden/>
          </w:rPr>
          <w:fldChar w:fldCharType="begin"/>
        </w:r>
        <w:r>
          <w:rPr>
            <w:noProof/>
            <w:webHidden/>
          </w:rPr>
          <w:instrText xml:space="preserve"> PAGEREF _Toc175913913 \h </w:instrText>
        </w:r>
        <w:r>
          <w:rPr>
            <w:noProof/>
            <w:webHidden/>
          </w:rPr>
        </w:r>
        <w:r>
          <w:rPr>
            <w:noProof/>
            <w:webHidden/>
          </w:rPr>
          <w:fldChar w:fldCharType="separate"/>
        </w:r>
        <w:r>
          <w:rPr>
            <w:noProof/>
            <w:webHidden/>
          </w:rPr>
          <w:t>49</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4" w:history="1">
        <w:r w:rsidRPr="001A79D3">
          <w:rPr>
            <w:rStyle w:val="Hypertextovodkaz"/>
            <w:noProof/>
          </w:rPr>
          <w:t>5.8</w:t>
        </w:r>
        <w:r>
          <w:rPr>
            <w:rFonts w:asciiTheme="minorHAnsi" w:eastAsiaTheme="minorEastAsia" w:hAnsiTheme="minorHAnsi" w:cstheme="minorBidi"/>
            <w:noProof/>
            <w:sz w:val="22"/>
            <w:szCs w:val="22"/>
          </w:rPr>
          <w:tab/>
        </w:r>
        <w:r w:rsidRPr="001A79D3">
          <w:rPr>
            <w:rStyle w:val="Hypertextovodkaz"/>
            <w:noProof/>
          </w:rPr>
          <w:t>Státní dluh a komentář k rozpočtu kapitoly Státní dluh</w:t>
        </w:r>
        <w:r>
          <w:rPr>
            <w:noProof/>
            <w:webHidden/>
          </w:rPr>
          <w:tab/>
        </w:r>
        <w:r>
          <w:rPr>
            <w:noProof/>
            <w:webHidden/>
          </w:rPr>
          <w:fldChar w:fldCharType="begin"/>
        </w:r>
        <w:r>
          <w:rPr>
            <w:noProof/>
            <w:webHidden/>
          </w:rPr>
          <w:instrText xml:space="preserve"> PAGEREF _Toc175913914 \h </w:instrText>
        </w:r>
        <w:r>
          <w:rPr>
            <w:noProof/>
            <w:webHidden/>
          </w:rPr>
        </w:r>
        <w:r>
          <w:rPr>
            <w:noProof/>
            <w:webHidden/>
          </w:rPr>
          <w:fldChar w:fldCharType="separate"/>
        </w:r>
        <w:r>
          <w:rPr>
            <w:noProof/>
            <w:webHidden/>
          </w:rPr>
          <w:t>49</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5" w:history="1">
        <w:r w:rsidRPr="001A79D3">
          <w:rPr>
            <w:rStyle w:val="Hypertextovodkaz"/>
            <w:noProof/>
          </w:rPr>
          <w:t>5.9</w:t>
        </w:r>
        <w:r>
          <w:rPr>
            <w:rFonts w:asciiTheme="minorHAnsi" w:eastAsiaTheme="minorEastAsia" w:hAnsiTheme="minorHAnsi" w:cstheme="minorBidi"/>
            <w:noProof/>
            <w:sz w:val="22"/>
            <w:szCs w:val="22"/>
          </w:rPr>
          <w:tab/>
        </w:r>
        <w:r w:rsidRPr="001A79D3">
          <w:rPr>
            <w:rStyle w:val="Hypertextovodkaz"/>
            <w:noProof/>
          </w:rPr>
          <w:t>Komentář k rozpočtu kapitoly Operace státních finančních aktiv</w:t>
        </w:r>
        <w:r>
          <w:rPr>
            <w:noProof/>
            <w:webHidden/>
          </w:rPr>
          <w:tab/>
        </w:r>
        <w:r>
          <w:rPr>
            <w:noProof/>
            <w:webHidden/>
          </w:rPr>
          <w:fldChar w:fldCharType="begin"/>
        </w:r>
        <w:r>
          <w:rPr>
            <w:noProof/>
            <w:webHidden/>
          </w:rPr>
          <w:instrText xml:space="preserve"> PAGEREF _Toc175913915 \h </w:instrText>
        </w:r>
        <w:r>
          <w:rPr>
            <w:noProof/>
            <w:webHidden/>
          </w:rPr>
        </w:r>
        <w:r>
          <w:rPr>
            <w:noProof/>
            <w:webHidden/>
          </w:rPr>
          <w:fldChar w:fldCharType="separate"/>
        </w:r>
        <w:r>
          <w:rPr>
            <w:noProof/>
            <w:webHidden/>
          </w:rPr>
          <w:t>52</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6" w:history="1">
        <w:r w:rsidRPr="001A79D3">
          <w:rPr>
            <w:rStyle w:val="Hypertextovodkaz"/>
            <w:noProof/>
          </w:rPr>
          <w:t>5.10</w:t>
        </w:r>
        <w:r>
          <w:rPr>
            <w:rFonts w:asciiTheme="minorHAnsi" w:eastAsiaTheme="minorEastAsia" w:hAnsiTheme="minorHAnsi" w:cstheme="minorBidi"/>
            <w:noProof/>
            <w:sz w:val="22"/>
            <w:szCs w:val="22"/>
          </w:rPr>
          <w:tab/>
        </w:r>
        <w:r w:rsidRPr="001A79D3">
          <w:rPr>
            <w:rStyle w:val="Hypertextovodkaz"/>
            <w:noProof/>
          </w:rPr>
          <w:t>Komentář k rozpočtu kapitoly Všeobecná pokladní správa</w:t>
        </w:r>
        <w:r>
          <w:rPr>
            <w:noProof/>
            <w:webHidden/>
          </w:rPr>
          <w:tab/>
        </w:r>
        <w:r>
          <w:rPr>
            <w:noProof/>
            <w:webHidden/>
          </w:rPr>
          <w:fldChar w:fldCharType="begin"/>
        </w:r>
        <w:r>
          <w:rPr>
            <w:noProof/>
            <w:webHidden/>
          </w:rPr>
          <w:instrText xml:space="preserve"> PAGEREF _Toc175913916 \h </w:instrText>
        </w:r>
        <w:r>
          <w:rPr>
            <w:noProof/>
            <w:webHidden/>
          </w:rPr>
        </w:r>
        <w:r>
          <w:rPr>
            <w:noProof/>
            <w:webHidden/>
          </w:rPr>
          <w:fldChar w:fldCharType="separate"/>
        </w:r>
        <w:r>
          <w:rPr>
            <w:noProof/>
            <w:webHidden/>
          </w:rPr>
          <w:t>52</w:t>
        </w:r>
        <w:r>
          <w:rPr>
            <w:noProof/>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917" w:history="1">
        <w:r w:rsidRPr="001A79D3">
          <w:rPr>
            <w:rStyle w:val="Hypertextovodkaz"/>
          </w:rPr>
          <w:t>6</w:t>
        </w:r>
        <w:r>
          <w:rPr>
            <w:rFonts w:asciiTheme="minorHAnsi" w:eastAsiaTheme="minorEastAsia" w:hAnsiTheme="minorHAnsi" w:cstheme="minorBidi"/>
            <w:b w:val="0"/>
            <w:sz w:val="22"/>
            <w:szCs w:val="22"/>
          </w:rPr>
          <w:tab/>
        </w:r>
        <w:r w:rsidRPr="001A79D3">
          <w:rPr>
            <w:rStyle w:val="Hypertextovodkaz"/>
          </w:rPr>
          <w:t>Finanční vztahy k rozpočtu EU, EHP, Norsku a  Švýcarsku</w:t>
        </w:r>
        <w:r>
          <w:rPr>
            <w:webHidden/>
          </w:rPr>
          <w:tab/>
        </w:r>
        <w:r>
          <w:rPr>
            <w:webHidden/>
          </w:rPr>
          <w:fldChar w:fldCharType="begin"/>
        </w:r>
        <w:r>
          <w:rPr>
            <w:webHidden/>
          </w:rPr>
          <w:instrText xml:space="preserve"> PAGEREF _Toc175913917 \h </w:instrText>
        </w:r>
        <w:r>
          <w:rPr>
            <w:webHidden/>
          </w:rPr>
        </w:r>
        <w:r>
          <w:rPr>
            <w:webHidden/>
          </w:rPr>
          <w:fldChar w:fldCharType="separate"/>
        </w:r>
        <w:r>
          <w:rPr>
            <w:webHidden/>
          </w:rPr>
          <w:t>54</w:t>
        </w:r>
        <w:r>
          <w:rPr>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8" w:history="1">
        <w:r w:rsidRPr="001A79D3">
          <w:rPr>
            <w:rStyle w:val="Hypertextovodkaz"/>
            <w:noProof/>
          </w:rPr>
          <w:t>6.1</w:t>
        </w:r>
        <w:r>
          <w:rPr>
            <w:rFonts w:asciiTheme="minorHAnsi" w:eastAsiaTheme="minorEastAsia" w:hAnsiTheme="minorHAnsi" w:cstheme="minorBidi"/>
            <w:noProof/>
            <w:sz w:val="22"/>
            <w:szCs w:val="22"/>
          </w:rPr>
          <w:tab/>
        </w:r>
        <w:r w:rsidRPr="001A79D3">
          <w:rPr>
            <w:rStyle w:val="Hypertextovodkaz"/>
            <w:noProof/>
          </w:rPr>
          <w:t>Čistá pozice ČR vůči rozpočtu EU a finanční vztahy vůči FM</w:t>
        </w:r>
        <w:r>
          <w:rPr>
            <w:noProof/>
            <w:webHidden/>
          </w:rPr>
          <w:tab/>
        </w:r>
        <w:r>
          <w:rPr>
            <w:noProof/>
            <w:webHidden/>
          </w:rPr>
          <w:fldChar w:fldCharType="begin"/>
        </w:r>
        <w:r>
          <w:rPr>
            <w:noProof/>
            <w:webHidden/>
          </w:rPr>
          <w:instrText xml:space="preserve"> PAGEREF _Toc175913918 \h </w:instrText>
        </w:r>
        <w:r>
          <w:rPr>
            <w:noProof/>
            <w:webHidden/>
          </w:rPr>
        </w:r>
        <w:r>
          <w:rPr>
            <w:noProof/>
            <w:webHidden/>
          </w:rPr>
          <w:fldChar w:fldCharType="separate"/>
        </w:r>
        <w:r>
          <w:rPr>
            <w:noProof/>
            <w:webHidden/>
          </w:rPr>
          <w:t>54</w:t>
        </w:r>
        <w:r>
          <w:rPr>
            <w:noProof/>
            <w:webHidden/>
          </w:rPr>
          <w:fldChar w:fldCharType="end"/>
        </w:r>
      </w:hyperlink>
    </w:p>
    <w:p w:rsidR="00597ADA" w:rsidRDefault="00597ADA">
      <w:pPr>
        <w:pStyle w:val="Obsah2"/>
        <w:rPr>
          <w:rFonts w:asciiTheme="minorHAnsi" w:eastAsiaTheme="minorEastAsia" w:hAnsiTheme="minorHAnsi" w:cstheme="minorBidi"/>
          <w:noProof/>
          <w:sz w:val="22"/>
          <w:szCs w:val="22"/>
        </w:rPr>
      </w:pPr>
      <w:hyperlink w:anchor="_Toc175913919" w:history="1">
        <w:r w:rsidRPr="001A79D3">
          <w:rPr>
            <w:rStyle w:val="Hypertextovodkaz"/>
            <w:noProof/>
          </w:rPr>
          <w:t>6.2</w:t>
        </w:r>
        <w:r>
          <w:rPr>
            <w:rFonts w:asciiTheme="minorHAnsi" w:eastAsiaTheme="minorEastAsia" w:hAnsiTheme="minorHAnsi" w:cstheme="minorBidi"/>
            <w:noProof/>
            <w:sz w:val="22"/>
            <w:szCs w:val="22"/>
          </w:rPr>
          <w:tab/>
        </w:r>
        <w:r w:rsidRPr="001A79D3">
          <w:rPr>
            <w:rStyle w:val="Hypertextovodkaz"/>
            <w:noProof/>
          </w:rPr>
          <w:t>Výdaje státního rozpočtu v souvislosti s rozpočtem EU a finančními mechanismy</w:t>
        </w:r>
        <w:r>
          <w:rPr>
            <w:noProof/>
            <w:webHidden/>
          </w:rPr>
          <w:tab/>
        </w:r>
        <w:r>
          <w:rPr>
            <w:noProof/>
            <w:webHidden/>
          </w:rPr>
          <w:fldChar w:fldCharType="begin"/>
        </w:r>
        <w:r>
          <w:rPr>
            <w:noProof/>
            <w:webHidden/>
          </w:rPr>
          <w:instrText xml:space="preserve"> PAGEREF _Toc175913919 \h </w:instrText>
        </w:r>
        <w:r>
          <w:rPr>
            <w:noProof/>
            <w:webHidden/>
          </w:rPr>
        </w:r>
        <w:r>
          <w:rPr>
            <w:noProof/>
            <w:webHidden/>
          </w:rPr>
          <w:fldChar w:fldCharType="separate"/>
        </w:r>
        <w:r>
          <w:rPr>
            <w:noProof/>
            <w:webHidden/>
          </w:rPr>
          <w:t>55</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920" w:history="1">
        <w:r w:rsidRPr="001A79D3">
          <w:rPr>
            <w:rStyle w:val="Hypertextovodkaz"/>
            <w:noProof/>
            <w14:scene3d>
              <w14:camera w14:prst="orthographicFront"/>
              <w14:lightRig w14:rig="threePt" w14:dir="t">
                <w14:rot w14:lat="0" w14:lon="0" w14:rev="0"/>
              </w14:lightRig>
            </w14:scene3d>
          </w:rPr>
          <w:t>6.2.1</w:t>
        </w:r>
        <w:r>
          <w:rPr>
            <w:rFonts w:asciiTheme="minorHAnsi" w:eastAsiaTheme="minorEastAsia" w:hAnsiTheme="minorHAnsi" w:cstheme="minorBidi"/>
            <w:noProof/>
            <w:sz w:val="22"/>
            <w:szCs w:val="22"/>
          </w:rPr>
          <w:tab/>
        </w:r>
        <w:r w:rsidRPr="001A79D3">
          <w:rPr>
            <w:rStyle w:val="Hypertextovodkaz"/>
            <w:noProof/>
          </w:rPr>
          <w:t>Výdaje státního rozpočtu – odvody do Evropské unie a makrofinanční pomoc + pro Ukrajinu</w:t>
        </w:r>
        <w:r>
          <w:rPr>
            <w:noProof/>
            <w:webHidden/>
          </w:rPr>
          <w:tab/>
        </w:r>
        <w:r>
          <w:rPr>
            <w:noProof/>
            <w:webHidden/>
          </w:rPr>
          <w:fldChar w:fldCharType="begin"/>
        </w:r>
        <w:r>
          <w:rPr>
            <w:noProof/>
            <w:webHidden/>
          </w:rPr>
          <w:instrText xml:space="preserve"> PAGEREF _Toc175913920 \h </w:instrText>
        </w:r>
        <w:r>
          <w:rPr>
            <w:noProof/>
            <w:webHidden/>
          </w:rPr>
        </w:r>
        <w:r>
          <w:rPr>
            <w:noProof/>
            <w:webHidden/>
          </w:rPr>
          <w:fldChar w:fldCharType="separate"/>
        </w:r>
        <w:r>
          <w:rPr>
            <w:noProof/>
            <w:webHidden/>
          </w:rPr>
          <w:t>56</w:t>
        </w:r>
        <w:r>
          <w:rPr>
            <w:noProof/>
            <w:webHidden/>
          </w:rPr>
          <w:fldChar w:fldCharType="end"/>
        </w:r>
      </w:hyperlink>
    </w:p>
    <w:p w:rsidR="00597ADA" w:rsidRDefault="00597ADA">
      <w:pPr>
        <w:pStyle w:val="Obsah3"/>
        <w:tabs>
          <w:tab w:val="left" w:pos="1320"/>
          <w:tab w:val="right" w:leader="dot" w:pos="9628"/>
        </w:tabs>
        <w:rPr>
          <w:rFonts w:asciiTheme="minorHAnsi" w:eastAsiaTheme="minorEastAsia" w:hAnsiTheme="minorHAnsi" w:cstheme="minorBidi"/>
          <w:noProof/>
          <w:sz w:val="22"/>
          <w:szCs w:val="22"/>
        </w:rPr>
      </w:pPr>
      <w:hyperlink w:anchor="_Toc175913921" w:history="1">
        <w:r w:rsidRPr="001A79D3">
          <w:rPr>
            <w:rStyle w:val="Hypertextovodkaz"/>
            <w:noProof/>
            <w14:scene3d>
              <w14:camera w14:prst="orthographicFront"/>
              <w14:lightRig w14:rig="threePt" w14:dir="t">
                <w14:rot w14:lat="0" w14:lon="0" w14:rev="0"/>
              </w14:lightRig>
            </w14:scene3d>
          </w:rPr>
          <w:t>6.2.2</w:t>
        </w:r>
        <w:r>
          <w:rPr>
            <w:rFonts w:asciiTheme="minorHAnsi" w:eastAsiaTheme="minorEastAsia" w:hAnsiTheme="minorHAnsi" w:cstheme="minorBidi"/>
            <w:noProof/>
            <w:sz w:val="22"/>
            <w:szCs w:val="22"/>
          </w:rPr>
          <w:tab/>
        </w:r>
        <w:r w:rsidRPr="001A79D3">
          <w:rPr>
            <w:rStyle w:val="Hypertextovodkaz"/>
            <w:noProof/>
          </w:rPr>
          <w:t>Výdaje na programy podporované z rozpočtu EU a finančních mechanismů</w:t>
        </w:r>
        <w:r>
          <w:rPr>
            <w:noProof/>
            <w:webHidden/>
          </w:rPr>
          <w:tab/>
        </w:r>
        <w:r>
          <w:rPr>
            <w:noProof/>
            <w:webHidden/>
          </w:rPr>
          <w:fldChar w:fldCharType="begin"/>
        </w:r>
        <w:r>
          <w:rPr>
            <w:noProof/>
            <w:webHidden/>
          </w:rPr>
          <w:instrText xml:space="preserve"> PAGEREF _Toc175913921 \h </w:instrText>
        </w:r>
        <w:r>
          <w:rPr>
            <w:noProof/>
            <w:webHidden/>
          </w:rPr>
        </w:r>
        <w:r>
          <w:rPr>
            <w:noProof/>
            <w:webHidden/>
          </w:rPr>
          <w:fldChar w:fldCharType="separate"/>
        </w:r>
        <w:r>
          <w:rPr>
            <w:noProof/>
            <w:webHidden/>
          </w:rPr>
          <w:t>57</w:t>
        </w:r>
        <w:r>
          <w:rPr>
            <w:noProof/>
            <w:webHidden/>
          </w:rPr>
          <w:fldChar w:fldCharType="end"/>
        </w:r>
      </w:hyperlink>
    </w:p>
    <w:p w:rsidR="00597ADA" w:rsidRDefault="00597ADA">
      <w:pPr>
        <w:pStyle w:val="Obsah1"/>
        <w:rPr>
          <w:rFonts w:asciiTheme="minorHAnsi" w:eastAsiaTheme="minorEastAsia" w:hAnsiTheme="minorHAnsi" w:cstheme="minorBidi"/>
          <w:b w:val="0"/>
          <w:sz w:val="22"/>
          <w:szCs w:val="22"/>
        </w:rPr>
      </w:pPr>
      <w:hyperlink w:anchor="_Toc175913922" w:history="1">
        <w:r w:rsidRPr="001A79D3">
          <w:rPr>
            <w:rStyle w:val="Hypertextovodkaz"/>
          </w:rPr>
          <w:t>7</w:t>
        </w:r>
        <w:r>
          <w:rPr>
            <w:rFonts w:asciiTheme="minorHAnsi" w:eastAsiaTheme="minorEastAsia" w:hAnsiTheme="minorHAnsi" w:cstheme="minorBidi"/>
            <w:b w:val="0"/>
            <w:sz w:val="22"/>
            <w:szCs w:val="22"/>
          </w:rPr>
          <w:tab/>
        </w:r>
        <w:r w:rsidRPr="001A79D3">
          <w:rPr>
            <w:rStyle w:val="Hypertextovodkaz"/>
          </w:rPr>
          <w:t>Přílohy</w:t>
        </w:r>
        <w:r>
          <w:rPr>
            <w:webHidden/>
          </w:rPr>
          <w:tab/>
        </w:r>
        <w:r>
          <w:rPr>
            <w:webHidden/>
          </w:rPr>
          <w:fldChar w:fldCharType="begin"/>
        </w:r>
        <w:r>
          <w:rPr>
            <w:webHidden/>
          </w:rPr>
          <w:instrText xml:space="preserve"> PAGEREF _Toc175913922 \h </w:instrText>
        </w:r>
        <w:r>
          <w:rPr>
            <w:webHidden/>
          </w:rPr>
        </w:r>
        <w:r>
          <w:rPr>
            <w:webHidden/>
          </w:rPr>
          <w:fldChar w:fldCharType="separate"/>
        </w:r>
        <w:r>
          <w:rPr>
            <w:webHidden/>
          </w:rPr>
          <w:t>60</w:t>
        </w:r>
        <w:r>
          <w:rPr>
            <w:webHidden/>
          </w:rPr>
          <w:fldChar w:fldCharType="end"/>
        </w:r>
      </w:hyperlink>
    </w:p>
    <w:p w:rsidR="00601622" w:rsidRPr="005A7B7B" w:rsidRDefault="00601622" w:rsidP="00601622">
      <w:r w:rsidRPr="005A7B7B">
        <w:fldChar w:fldCharType="end"/>
      </w:r>
    </w:p>
    <w:p w:rsidR="00601622" w:rsidRPr="005A7B7B" w:rsidRDefault="00601622" w:rsidP="00601622"/>
    <w:p w:rsidR="00D15AE3" w:rsidRPr="005A7B7B" w:rsidRDefault="00D15AE3" w:rsidP="00601622">
      <w:pPr>
        <w:pStyle w:val="SRNadpismal"/>
      </w:pPr>
      <w:bookmarkStart w:id="1" w:name="_Toc175913863"/>
      <w:r w:rsidRPr="005A7B7B">
        <w:lastRenderedPageBreak/>
        <w:t>Seznam tabulek</w:t>
      </w:r>
      <w:bookmarkEnd w:id="1"/>
    </w:p>
    <w:p w:rsidR="00597ADA" w:rsidRDefault="009219C0">
      <w:pPr>
        <w:pStyle w:val="Seznamobrzk"/>
        <w:rPr>
          <w:rFonts w:asciiTheme="minorHAnsi" w:eastAsiaTheme="minorEastAsia" w:hAnsiTheme="minorHAnsi" w:cstheme="minorBidi"/>
          <w:noProof/>
          <w:sz w:val="22"/>
          <w:szCs w:val="22"/>
        </w:rPr>
      </w:pPr>
      <w:r w:rsidRPr="005A7B7B">
        <w:fldChar w:fldCharType="begin"/>
      </w:r>
      <w:r w:rsidRPr="005A7B7B">
        <w:instrText xml:space="preserve"> TOC \h \z \c "Tabulka" </w:instrText>
      </w:r>
      <w:r w:rsidRPr="005A7B7B">
        <w:fldChar w:fldCharType="separate"/>
      </w:r>
      <w:hyperlink w:anchor="_Toc175913923" w:history="1">
        <w:r w:rsidR="00597ADA" w:rsidRPr="005D11D3">
          <w:rPr>
            <w:rStyle w:val="Hypertextovodkaz"/>
            <w:noProof/>
          </w:rPr>
          <w:t>Tabulka 1 Predikce základních makroekonomických indikátorů</w:t>
        </w:r>
        <w:r w:rsidR="00597ADA">
          <w:rPr>
            <w:noProof/>
            <w:webHidden/>
          </w:rPr>
          <w:tab/>
        </w:r>
        <w:r w:rsidR="00597ADA">
          <w:rPr>
            <w:noProof/>
            <w:webHidden/>
          </w:rPr>
          <w:fldChar w:fldCharType="begin"/>
        </w:r>
        <w:r w:rsidR="00597ADA">
          <w:rPr>
            <w:noProof/>
            <w:webHidden/>
          </w:rPr>
          <w:instrText xml:space="preserve"> PAGEREF _Toc175913923 \h </w:instrText>
        </w:r>
        <w:r w:rsidR="00597ADA">
          <w:rPr>
            <w:noProof/>
            <w:webHidden/>
          </w:rPr>
        </w:r>
        <w:r w:rsidR="00597ADA">
          <w:rPr>
            <w:noProof/>
            <w:webHidden/>
          </w:rPr>
          <w:fldChar w:fldCharType="separate"/>
        </w:r>
        <w:r w:rsidR="00597ADA">
          <w:rPr>
            <w:noProof/>
            <w:webHidden/>
          </w:rPr>
          <w:t>6</w:t>
        </w:r>
        <w:r w:rsidR="00597ADA">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4" w:history="1">
        <w:r w:rsidRPr="005D11D3">
          <w:rPr>
            <w:rStyle w:val="Hypertextovodkaz"/>
            <w:noProof/>
          </w:rPr>
          <w:t>Tabulka 2 Základní ukazatele státního rozpočtu (v mld. Kč)</w:t>
        </w:r>
        <w:r>
          <w:rPr>
            <w:noProof/>
            <w:webHidden/>
          </w:rPr>
          <w:tab/>
        </w:r>
        <w:r>
          <w:rPr>
            <w:noProof/>
            <w:webHidden/>
          </w:rPr>
          <w:fldChar w:fldCharType="begin"/>
        </w:r>
        <w:r>
          <w:rPr>
            <w:noProof/>
            <w:webHidden/>
          </w:rPr>
          <w:instrText xml:space="preserve"> PAGEREF _Toc175913924 \h </w:instrText>
        </w:r>
        <w:r>
          <w:rPr>
            <w:noProof/>
            <w:webHidden/>
          </w:rPr>
        </w:r>
        <w:r>
          <w:rPr>
            <w:noProof/>
            <w:webHidden/>
          </w:rPr>
          <w:fldChar w:fldCharType="separate"/>
        </w:r>
        <w:r>
          <w:rPr>
            <w:noProof/>
            <w:webHidden/>
          </w:rPr>
          <w:t>7</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5" w:history="1">
        <w:r w:rsidRPr="005D11D3">
          <w:rPr>
            <w:rStyle w:val="Hypertextovodkaz"/>
            <w:noProof/>
          </w:rPr>
          <w:t>Tabulka 3 Základní bilance státního rozpočtu </w:t>
        </w:r>
        <w:r w:rsidRPr="005D11D3">
          <w:rPr>
            <w:rStyle w:val="Hypertextovodkaz"/>
            <w:noProof/>
          </w:rPr>
          <w:noBreakHyphen/>
          <w:t xml:space="preserve"> druhové třídění </w:t>
        </w:r>
        <w:r w:rsidRPr="005D11D3">
          <w:rPr>
            <w:rStyle w:val="Hypertextovodkaz"/>
            <w:i/>
            <w:noProof/>
          </w:rPr>
          <w:t>(v mld. Kč)</w:t>
        </w:r>
        <w:r>
          <w:rPr>
            <w:noProof/>
            <w:webHidden/>
          </w:rPr>
          <w:tab/>
        </w:r>
        <w:r>
          <w:rPr>
            <w:noProof/>
            <w:webHidden/>
          </w:rPr>
          <w:fldChar w:fldCharType="begin"/>
        </w:r>
        <w:r>
          <w:rPr>
            <w:noProof/>
            <w:webHidden/>
          </w:rPr>
          <w:instrText xml:space="preserve"> PAGEREF _Toc175913925 \h </w:instrText>
        </w:r>
        <w:r>
          <w:rPr>
            <w:noProof/>
            <w:webHidden/>
          </w:rPr>
        </w:r>
        <w:r>
          <w:rPr>
            <w:noProof/>
            <w:webHidden/>
          </w:rPr>
          <w:fldChar w:fldCharType="separate"/>
        </w:r>
        <w:r>
          <w:rPr>
            <w:noProof/>
            <w:webHidden/>
          </w:rPr>
          <w:t>9</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6" w:history="1">
        <w:r w:rsidRPr="005D11D3">
          <w:rPr>
            <w:rStyle w:val="Hypertextovodkaz"/>
            <w:noProof/>
          </w:rPr>
          <w:t xml:space="preserve">Tabulka 4 Odvětvové členění výdajů </w:t>
        </w:r>
        <w:r w:rsidRPr="005D11D3">
          <w:rPr>
            <w:rStyle w:val="Hypertextovodkaz"/>
            <w:i/>
            <w:noProof/>
          </w:rPr>
          <w:t>(v mld. Kč)</w:t>
        </w:r>
        <w:r>
          <w:rPr>
            <w:noProof/>
            <w:webHidden/>
          </w:rPr>
          <w:tab/>
        </w:r>
        <w:r>
          <w:rPr>
            <w:noProof/>
            <w:webHidden/>
          </w:rPr>
          <w:fldChar w:fldCharType="begin"/>
        </w:r>
        <w:r>
          <w:rPr>
            <w:noProof/>
            <w:webHidden/>
          </w:rPr>
          <w:instrText xml:space="preserve"> PAGEREF _Toc175913926 \h </w:instrText>
        </w:r>
        <w:r>
          <w:rPr>
            <w:noProof/>
            <w:webHidden/>
          </w:rPr>
        </w:r>
        <w:r>
          <w:rPr>
            <w:noProof/>
            <w:webHidden/>
          </w:rPr>
          <w:fldChar w:fldCharType="separate"/>
        </w:r>
        <w:r>
          <w:rPr>
            <w:noProof/>
            <w:webHidden/>
          </w:rPr>
          <w:t>10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7" w:history="1">
        <w:r w:rsidRPr="005D11D3">
          <w:rPr>
            <w:rStyle w:val="Hypertextovodkaz"/>
            <w:noProof/>
          </w:rPr>
          <w:t xml:space="preserve">Tabulka 5 Příjmy státního rozpočtu </w:t>
        </w:r>
        <w:r w:rsidRPr="005D11D3">
          <w:rPr>
            <w:rStyle w:val="Hypertextovodkaz"/>
            <w:i/>
            <w:noProof/>
          </w:rPr>
          <w:t>(v mld. Kč)</w:t>
        </w:r>
        <w:r>
          <w:rPr>
            <w:noProof/>
            <w:webHidden/>
          </w:rPr>
          <w:tab/>
        </w:r>
        <w:r>
          <w:rPr>
            <w:noProof/>
            <w:webHidden/>
          </w:rPr>
          <w:fldChar w:fldCharType="begin"/>
        </w:r>
        <w:r>
          <w:rPr>
            <w:noProof/>
            <w:webHidden/>
          </w:rPr>
          <w:instrText xml:space="preserve"> PAGEREF _Toc175913927 \h </w:instrText>
        </w:r>
        <w:r>
          <w:rPr>
            <w:noProof/>
            <w:webHidden/>
          </w:rPr>
        </w:r>
        <w:r>
          <w:rPr>
            <w:noProof/>
            <w:webHidden/>
          </w:rPr>
          <w:fldChar w:fldCharType="separate"/>
        </w:r>
        <w:r>
          <w:rPr>
            <w:noProof/>
            <w:webHidden/>
          </w:rPr>
          <w:t>11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8" w:history="1">
        <w:r w:rsidRPr="005D11D3">
          <w:rPr>
            <w:rStyle w:val="Hypertextovodkaz"/>
            <w:noProof/>
          </w:rPr>
          <w:t>Tabulka 6 Vývoj daňové kvóty (v % HDP)</w:t>
        </w:r>
        <w:r>
          <w:rPr>
            <w:noProof/>
            <w:webHidden/>
          </w:rPr>
          <w:tab/>
        </w:r>
        <w:r>
          <w:rPr>
            <w:noProof/>
            <w:webHidden/>
          </w:rPr>
          <w:fldChar w:fldCharType="begin"/>
        </w:r>
        <w:r>
          <w:rPr>
            <w:noProof/>
            <w:webHidden/>
          </w:rPr>
          <w:instrText xml:space="preserve"> PAGEREF _Toc175913928 \h </w:instrText>
        </w:r>
        <w:r>
          <w:rPr>
            <w:noProof/>
            <w:webHidden/>
          </w:rPr>
        </w:r>
        <w:r>
          <w:rPr>
            <w:noProof/>
            <w:webHidden/>
          </w:rPr>
          <w:fldChar w:fldCharType="separate"/>
        </w:r>
        <w:r>
          <w:rPr>
            <w:noProof/>
            <w:webHidden/>
          </w:rPr>
          <w:t>12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29" w:history="1">
        <w:r w:rsidRPr="005D11D3">
          <w:rPr>
            <w:rStyle w:val="Hypertextovodkaz"/>
            <w:noProof/>
          </w:rPr>
          <w:t xml:space="preserve">Tabulka 7 Daňové příjmy </w:t>
        </w:r>
        <w:r w:rsidRPr="005D11D3">
          <w:rPr>
            <w:rStyle w:val="Hypertextovodkaz"/>
            <w:i/>
            <w:noProof/>
          </w:rPr>
          <w:t>(v mld. Kč)</w:t>
        </w:r>
        <w:r>
          <w:rPr>
            <w:noProof/>
            <w:webHidden/>
          </w:rPr>
          <w:tab/>
        </w:r>
        <w:r>
          <w:rPr>
            <w:noProof/>
            <w:webHidden/>
          </w:rPr>
          <w:fldChar w:fldCharType="begin"/>
        </w:r>
        <w:r>
          <w:rPr>
            <w:noProof/>
            <w:webHidden/>
          </w:rPr>
          <w:instrText xml:space="preserve"> PAGEREF _Toc175913929 \h </w:instrText>
        </w:r>
        <w:r>
          <w:rPr>
            <w:noProof/>
            <w:webHidden/>
          </w:rPr>
        </w:r>
        <w:r>
          <w:rPr>
            <w:noProof/>
            <w:webHidden/>
          </w:rPr>
          <w:fldChar w:fldCharType="separate"/>
        </w:r>
        <w:r>
          <w:rPr>
            <w:noProof/>
            <w:webHidden/>
          </w:rPr>
          <w:t>13</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0" w:history="1">
        <w:r w:rsidRPr="005D11D3">
          <w:rPr>
            <w:rStyle w:val="Hypertextovodkaz"/>
            <w:noProof/>
          </w:rPr>
          <w:t xml:space="preserve">Tabulka 8 Vývoj příjmů z pojistného na sociální zabezpečení </w:t>
        </w:r>
        <w:r w:rsidRPr="005D11D3">
          <w:rPr>
            <w:rStyle w:val="Hypertextovodkaz"/>
            <w:i/>
            <w:noProof/>
          </w:rPr>
          <w:t>(v mld. Kč)</w:t>
        </w:r>
        <w:r>
          <w:rPr>
            <w:noProof/>
            <w:webHidden/>
          </w:rPr>
          <w:tab/>
        </w:r>
        <w:r>
          <w:rPr>
            <w:noProof/>
            <w:webHidden/>
          </w:rPr>
          <w:fldChar w:fldCharType="begin"/>
        </w:r>
        <w:r>
          <w:rPr>
            <w:noProof/>
            <w:webHidden/>
          </w:rPr>
          <w:instrText xml:space="preserve"> PAGEREF _Toc175913930 \h </w:instrText>
        </w:r>
        <w:r>
          <w:rPr>
            <w:noProof/>
            <w:webHidden/>
          </w:rPr>
        </w:r>
        <w:r>
          <w:rPr>
            <w:noProof/>
            <w:webHidden/>
          </w:rPr>
          <w:fldChar w:fldCharType="separate"/>
        </w:r>
        <w:r>
          <w:rPr>
            <w:noProof/>
            <w:webHidden/>
          </w:rPr>
          <w:t>16</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1" w:history="1">
        <w:r w:rsidRPr="005D11D3">
          <w:rPr>
            <w:rStyle w:val="Hypertextovodkaz"/>
            <w:noProof/>
          </w:rPr>
          <w:t xml:space="preserve">Tabulka 9 Vývoj ostatních příjmů </w:t>
        </w:r>
        <w:r w:rsidRPr="005D11D3">
          <w:rPr>
            <w:rStyle w:val="Hypertextovodkaz"/>
            <w:i/>
            <w:noProof/>
          </w:rPr>
          <w:t>(v mil. Kč)</w:t>
        </w:r>
        <w:r>
          <w:rPr>
            <w:noProof/>
            <w:webHidden/>
          </w:rPr>
          <w:tab/>
        </w:r>
        <w:r>
          <w:rPr>
            <w:noProof/>
            <w:webHidden/>
          </w:rPr>
          <w:fldChar w:fldCharType="begin"/>
        </w:r>
        <w:r>
          <w:rPr>
            <w:noProof/>
            <w:webHidden/>
          </w:rPr>
          <w:instrText xml:space="preserve"> PAGEREF _Toc175913931 \h </w:instrText>
        </w:r>
        <w:r>
          <w:rPr>
            <w:noProof/>
            <w:webHidden/>
          </w:rPr>
        </w:r>
        <w:r>
          <w:rPr>
            <w:noProof/>
            <w:webHidden/>
          </w:rPr>
          <w:fldChar w:fldCharType="separate"/>
        </w:r>
        <w:r>
          <w:rPr>
            <w:noProof/>
            <w:webHidden/>
          </w:rPr>
          <w:t>17</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2" w:history="1">
        <w:r w:rsidRPr="005D11D3">
          <w:rPr>
            <w:rStyle w:val="Hypertextovodkaz"/>
            <w:noProof/>
          </w:rPr>
          <w:t xml:space="preserve">Tabulka 10 Výdaje státního rozpočtu </w:t>
        </w:r>
        <w:r w:rsidRPr="005D11D3">
          <w:rPr>
            <w:rStyle w:val="Hypertextovodkaz"/>
            <w:i/>
            <w:noProof/>
          </w:rPr>
          <w:t>(v mld. Kč)</w:t>
        </w:r>
        <w:r>
          <w:rPr>
            <w:noProof/>
            <w:webHidden/>
          </w:rPr>
          <w:tab/>
        </w:r>
        <w:r>
          <w:rPr>
            <w:noProof/>
            <w:webHidden/>
          </w:rPr>
          <w:fldChar w:fldCharType="begin"/>
        </w:r>
        <w:r>
          <w:rPr>
            <w:noProof/>
            <w:webHidden/>
          </w:rPr>
          <w:instrText xml:space="preserve"> PAGEREF _Toc175913932 \h </w:instrText>
        </w:r>
        <w:r>
          <w:rPr>
            <w:noProof/>
            <w:webHidden/>
          </w:rPr>
        </w:r>
        <w:r>
          <w:rPr>
            <w:noProof/>
            <w:webHidden/>
          </w:rPr>
          <w:fldChar w:fldCharType="separate"/>
        </w:r>
        <w:r>
          <w:rPr>
            <w:noProof/>
            <w:webHidden/>
          </w:rPr>
          <w:t>20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3" w:history="1">
        <w:r w:rsidRPr="005D11D3">
          <w:rPr>
            <w:rStyle w:val="Hypertextovodkaz"/>
            <w:noProof/>
          </w:rPr>
          <w:t xml:space="preserve">Tabulka 11 Podíl mandatorních výdajů celkem a quasi MV na celkových výdajích státního rozpočtu bez EU/FM a úč. oper. PRV </w:t>
        </w:r>
        <w:r w:rsidRPr="005D11D3">
          <w:rPr>
            <w:rStyle w:val="Hypertextovodkaz"/>
            <w:i/>
            <w:noProof/>
          </w:rPr>
          <w:t>(v mld. Kč)</w:t>
        </w:r>
        <w:r>
          <w:rPr>
            <w:noProof/>
            <w:webHidden/>
          </w:rPr>
          <w:tab/>
        </w:r>
        <w:r>
          <w:rPr>
            <w:noProof/>
            <w:webHidden/>
          </w:rPr>
          <w:fldChar w:fldCharType="begin"/>
        </w:r>
        <w:r>
          <w:rPr>
            <w:noProof/>
            <w:webHidden/>
          </w:rPr>
          <w:instrText xml:space="preserve"> PAGEREF _Toc175913933 \h </w:instrText>
        </w:r>
        <w:r>
          <w:rPr>
            <w:noProof/>
            <w:webHidden/>
          </w:rPr>
        </w:r>
        <w:r>
          <w:rPr>
            <w:noProof/>
            <w:webHidden/>
          </w:rPr>
          <w:fldChar w:fldCharType="separate"/>
        </w:r>
        <w:r>
          <w:rPr>
            <w:noProof/>
            <w:webHidden/>
          </w:rPr>
          <w:t>21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4" w:history="1">
        <w:r w:rsidRPr="005D11D3">
          <w:rPr>
            <w:rStyle w:val="Hypertextovodkaz"/>
            <w:noProof/>
          </w:rPr>
          <w:t>Tabulka 12 Mandatorní výdaje a quasi MV na HDP a na příjmech státního rozpočtu bez EU/FM a úč. oper. PRV</w:t>
        </w:r>
        <w:r>
          <w:rPr>
            <w:noProof/>
            <w:webHidden/>
          </w:rPr>
          <w:tab/>
        </w:r>
        <w:r>
          <w:rPr>
            <w:noProof/>
            <w:webHidden/>
          </w:rPr>
          <w:fldChar w:fldCharType="begin"/>
        </w:r>
        <w:r>
          <w:rPr>
            <w:noProof/>
            <w:webHidden/>
          </w:rPr>
          <w:instrText xml:space="preserve"> PAGEREF _Toc175913934 \h </w:instrText>
        </w:r>
        <w:r>
          <w:rPr>
            <w:noProof/>
            <w:webHidden/>
          </w:rPr>
        </w:r>
        <w:r>
          <w:rPr>
            <w:noProof/>
            <w:webHidden/>
          </w:rPr>
          <w:fldChar w:fldCharType="separate"/>
        </w:r>
        <w:r>
          <w:rPr>
            <w:noProof/>
            <w:webHidden/>
          </w:rPr>
          <w:t>22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5" w:history="1">
        <w:r w:rsidRPr="005D11D3">
          <w:rPr>
            <w:rStyle w:val="Hypertextovodkaz"/>
            <w:noProof/>
          </w:rPr>
          <w:t xml:space="preserve">Tabulka 13 Struktura sociálních výdajů podle jednotlivých výdajových titulů </w:t>
        </w:r>
        <w:r w:rsidRPr="005D11D3">
          <w:rPr>
            <w:rStyle w:val="Hypertextovodkaz"/>
            <w:i/>
            <w:noProof/>
          </w:rPr>
          <w:t>(v mil. Kč)</w:t>
        </w:r>
        <w:r>
          <w:rPr>
            <w:noProof/>
            <w:webHidden/>
          </w:rPr>
          <w:tab/>
        </w:r>
        <w:r>
          <w:rPr>
            <w:noProof/>
            <w:webHidden/>
          </w:rPr>
          <w:fldChar w:fldCharType="begin"/>
        </w:r>
        <w:r>
          <w:rPr>
            <w:noProof/>
            <w:webHidden/>
          </w:rPr>
          <w:instrText xml:space="preserve"> PAGEREF _Toc175913935 \h </w:instrText>
        </w:r>
        <w:r>
          <w:rPr>
            <w:noProof/>
            <w:webHidden/>
          </w:rPr>
        </w:r>
        <w:r>
          <w:rPr>
            <w:noProof/>
            <w:webHidden/>
          </w:rPr>
          <w:fldChar w:fldCharType="separate"/>
        </w:r>
        <w:r>
          <w:rPr>
            <w:noProof/>
            <w:webHidden/>
          </w:rPr>
          <w:t>25</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6" w:history="1">
        <w:r w:rsidRPr="005D11D3">
          <w:rPr>
            <w:rStyle w:val="Hypertextovodkaz"/>
            <w:noProof/>
          </w:rPr>
          <w:t>Tabulka 14 Vývoj objemu prostředků na platy a ostatní platby za provedenou práci, počtu míst a průměrných platů v OSS a PO</w:t>
        </w:r>
        <w:r>
          <w:rPr>
            <w:noProof/>
            <w:webHidden/>
          </w:rPr>
          <w:tab/>
        </w:r>
        <w:r>
          <w:rPr>
            <w:noProof/>
            <w:webHidden/>
          </w:rPr>
          <w:fldChar w:fldCharType="begin"/>
        </w:r>
        <w:r>
          <w:rPr>
            <w:noProof/>
            <w:webHidden/>
          </w:rPr>
          <w:instrText xml:space="preserve"> PAGEREF _Toc175913936 \h </w:instrText>
        </w:r>
        <w:r>
          <w:rPr>
            <w:noProof/>
            <w:webHidden/>
          </w:rPr>
        </w:r>
        <w:r>
          <w:rPr>
            <w:noProof/>
            <w:webHidden/>
          </w:rPr>
          <w:fldChar w:fldCharType="separate"/>
        </w:r>
        <w:r>
          <w:rPr>
            <w:noProof/>
            <w:webHidden/>
          </w:rPr>
          <w:t>27</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7" w:history="1">
        <w:r w:rsidRPr="005D11D3">
          <w:rPr>
            <w:rStyle w:val="Hypertextovodkaz"/>
            <w:noProof/>
          </w:rPr>
          <w:t>Tabulka 15 Prostředky na platy a ostatní platby za provedenou práci v OSS a PO</w:t>
        </w:r>
        <w:r>
          <w:rPr>
            <w:noProof/>
            <w:webHidden/>
          </w:rPr>
          <w:tab/>
        </w:r>
        <w:r>
          <w:rPr>
            <w:noProof/>
            <w:webHidden/>
          </w:rPr>
          <w:fldChar w:fldCharType="begin"/>
        </w:r>
        <w:r>
          <w:rPr>
            <w:noProof/>
            <w:webHidden/>
          </w:rPr>
          <w:instrText xml:space="preserve"> PAGEREF _Toc175913937 \h </w:instrText>
        </w:r>
        <w:r>
          <w:rPr>
            <w:noProof/>
            <w:webHidden/>
          </w:rPr>
        </w:r>
        <w:r>
          <w:rPr>
            <w:noProof/>
            <w:webHidden/>
          </w:rPr>
          <w:fldChar w:fldCharType="separate"/>
        </w:r>
        <w:r>
          <w:rPr>
            <w:noProof/>
            <w:webHidden/>
          </w:rPr>
          <w:t>27</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8" w:history="1">
        <w:r w:rsidRPr="005D11D3">
          <w:rPr>
            <w:rStyle w:val="Hypertextovodkaz"/>
            <w:noProof/>
          </w:rPr>
          <w:t>Tabulka 16 Počty míst zaměstnanců, příslušníků, vojáků, státních zástupců a odvozených v OSS a PO</w:t>
        </w:r>
        <w:r>
          <w:rPr>
            <w:noProof/>
            <w:webHidden/>
          </w:rPr>
          <w:tab/>
        </w:r>
        <w:r>
          <w:rPr>
            <w:noProof/>
            <w:webHidden/>
          </w:rPr>
          <w:fldChar w:fldCharType="begin"/>
        </w:r>
        <w:r>
          <w:rPr>
            <w:noProof/>
            <w:webHidden/>
          </w:rPr>
          <w:instrText xml:space="preserve"> PAGEREF _Toc175913938 \h </w:instrText>
        </w:r>
        <w:r>
          <w:rPr>
            <w:noProof/>
            <w:webHidden/>
          </w:rPr>
        </w:r>
        <w:r>
          <w:rPr>
            <w:noProof/>
            <w:webHidden/>
          </w:rPr>
          <w:fldChar w:fldCharType="separate"/>
        </w:r>
        <w:r>
          <w:rPr>
            <w:noProof/>
            <w:webHidden/>
          </w:rPr>
          <w:t>28</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39" w:history="1">
        <w:r w:rsidRPr="005D11D3">
          <w:rPr>
            <w:rStyle w:val="Hypertextovodkaz"/>
            <w:noProof/>
          </w:rPr>
          <w:t>Tabulka 17 Platy a ostatní platby za provedenou práci a počty míst vč. EU a FM</w:t>
        </w:r>
        <w:r>
          <w:rPr>
            <w:noProof/>
            <w:webHidden/>
          </w:rPr>
          <w:tab/>
        </w:r>
        <w:r>
          <w:rPr>
            <w:noProof/>
            <w:webHidden/>
          </w:rPr>
          <w:fldChar w:fldCharType="begin"/>
        </w:r>
        <w:r>
          <w:rPr>
            <w:noProof/>
            <w:webHidden/>
          </w:rPr>
          <w:instrText xml:space="preserve"> PAGEREF _Toc175913939 \h </w:instrText>
        </w:r>
        <w:r>
          <w:rPr>
            <w:noProof/>
            <w:webHidden/>
          </w:rPr>
        </w:r>
        <w:r>
          <w:rPr>
            <w:noProof/>
            <w:webHidden/>
          </w:rPr>
          <w:fldChar w:fldCharType="separate"/>
        </w:r>
        <w:r>
          <w:rPr>
            <w:noProof/>
            <w:webHidden/>
          </w:rPr>
          <w:t>32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0" w:history="1">
        <w:r w:rsidRPr="005D11D3">
          <w:rPr>
            <w:rStyle w:val="Hypertextovodkaz"/>
            <w:noProof/>
          </w:rPr>
          <w:t>Tabulka 18 Průměrné platy v OSS a PO – očištěno o místa příslušníků bezpečnostních sborů a vojáků bez finančního krytí</w:t>
        </w:r>
        <w:r>
          <w:rPr>
            <w:noProof/>
            <w:webHidden/>
          </w:rPr>
          <w:tab/>
        </w:r>
        <w:r>
          <w:rPr>
            <w:noProof/>
            <w:webHidden/>
          </w:rPr>
          <w:fldChar w:fldCharType="begin"/>
        </w:r>
        <w:r>
          <w:rPr>
            <w:noProof/>
            <w:webHidden/>
          </w:rPr>
          <w:instrText xml:space="preserve"> PAGEREF _Toc175913940 \h </w:instrText>
        </w:r>
        <w:r>
          <w:rPr>
            <w:noProof/>
            <w:webHidden/>
          </w:rPr>
        </w:r>
        <w:r>
          <w:rPr>
            <w:noProof/>
            <w:webHidden/>
          </w:rPr>
          <w:fldChar w:fldCharType="separate"/>
        </w:r>
        <w:r>
          <w:rPr>
            <w:noProof/>
            <w:webHidden/>
          </w:rPr>
          <w:t>33</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1" w:history="1">
        <w:r w:rsidRPr="005D11D3">
          <w:rPr>
            <w:rStyle w:val="Hypertextovodkaz"/>
            <w:noProof/>
          </w:rPr>
          <w:t xml:space="preserve">Tabulka 19 Běžné výdaje </w:t>
        </w:r>
        <w:r w:rsidRPr="005D11D3">
          <w:rPr>
            <w:rStyle w:val="Hypertextovodkaz"/>
            <w:i/>
            <w:noProof/>
          </w:rPr>
          <w:t>(v mld. Kč)</w:t>
        </w:r>
        <w:r>
          <w:rPr>
            <w:noProof/>
            <w:webHidden/>
          </w:rPr>
          <w:tab/>
        </w:r>
        <w:r>
          <w:rPr>
            <w:noProof/>
            <w:webHidden/>
          </w:rPr>
          <w:fldChar w:fldCharType="begin"/>
        </w:r>
        <w:r>
          <w:rPr>
            <w:noProof/>
            <w:webHidden/>
          </w:rPr>
          <w:instrText xml:space="preserve"> PAGEREF _Toc175913941 \h </w:instrText>
        </w:r>
        <w:r>
          <w:rPr>
            <w:noProof/>
            <w:webHidden/>
          </w:rPr>
        </w:r>
        <w:r>
          <w:rPr>
            <w:noProof/>
            <w:webHidden/>
          </w:rPr>
          <w:fldChar w:fldCharType="separate"/>
        </w:r>
        <w:r>
          <w:rPr>
            <w:noProof/>
            <w:webHidden/>
          </w:rPr>
          <w:t>34</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2" w:history="1">
        <w:r w:rsidRPr="005D11D3">
          <w:rPr>
            <w:rStyle w:val="Hypertextovodkaz"/>
            <w:noProof/>
          </w:rPr>
          <w:t xml:space="preserve">Tabulka 20 Užší běžné výdaje organizačních složek státu v členění dle druhu výdajů </w:t>
        </w:r>
        <w:r w:rsidRPr="005D11D3">
          <w:rPr>
            <w:rStyle w:val="Hypertextovodkaz"/>
            <w:i/>
            <w:noProof/>
          </w:rPr>
          <w:t>(v mil. Kč)</w:t>
        </w:r>
        <w:r>
          <w:rPr>
            <w:noProof/>
            <w:webHidden/>
          </w:rPr>
          <w:tab/>
        </w:r>
        <w:r>
          <w:rPr>
            <w:noProof/>
            <w:webHidden/>
          </w:rPr>
          <w:fldChar w:fldCharType="begin"/>
        </w:r>
        <w:r>
          <w:rPr>
            <w:noProof/>
            <w:webHidden/>
          </w:rPr>
          <w:instrText xml:space="preserve"> PAGEREF _Toc175913942 \h </w:instrText>
        </w:r>
        <w:r>
          <w:rPr>
            <w:noProof/>
            <w:webHidden/>
          </w:rPr>
        </w:r>
        <w:r>
          <w:rPr>
            <w:noProof/>
            <w:webHidden/>
          </w:rPr>
          <w:fldChar w:fldCharType="separate"/>
        </w:r>
        <w:r>
          <w:rPr>
            <w:noProof/>
            <w:webHidden/>
          </w:rPr>
          <w:t>36</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3" w:history="1">
        <w:r w:rsidRPr="005D11D3">
          <w:rPr>
            <w:rStyle w:val="Hypertextovodkaz"/>
            <w:noProof/>
          </w:rPr>
          <w:t>Tabulka 21 Užší běžné výdaje organizačních složek státu v členění dle kapitol (</w:t>
        </w:r>
        <w:r w:rsidRPr="005D11D3">
          <w:rPr>
            <w:rStyle w:val="Hypertextovodkaz"/>
            <w:i/>
            <w:noProof/>
          </w:rPr>
          <w:t>v mil. Kč</w:t>
        </w:r>
        <w:r w:rsidRPr="005D11D3">
          <w:rPr>
            <w:rStyle w:val="Hypertextovodkaz"/>
            <w:noProof/>
          </w:rPr>
          <w:t>)</w:t>
        </w:r>
        <w:r>
          <w:rPr>
            <w:noProof/>
            <w:webHidden/>
          </w:rPr>
          <w:tab/>
        </w:r>
        <w:r>
          <w:rPr>
            <w:noProof/>
            <w:webHidden/>
          </w:rPr>
          <w:fldChar w:fldCharType="begin"/>
        </w:r>
        <w:r>
          <w:rPr>
            <w:noProof/>
            <w:webHidden/>
          </w:rPr>
          <w:instrText xml:space="preserve"> PAGEREF _Toc175913943 \h </w:instrText>
        </w:r>
        <w:r>
          <w:rPr>
            <w:noProof/>
            <w:webHidden/>
          </w:rPr>
        </w:r>
        <w:r>
          <w:rPr>
            <w:noProof/>
            <w:webHidden/>
          </w:rPr>
          <w:fldChar w:fldCharType="separate"/>
        </w:r>
        <w:r>
          <w:rPr>
            <w:noProof/>
            <w:webHidden/>
          </w:rPr>
          <w:t>39</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4" w:history="1">
        <w:r w:rsidRPr="005D11D3">
          <w:rPr>
            <w:rStyle w:val="Hypertextovodkaz"/>
            <w:noProof/>
          </w:rPr>
          <w:t xml:space="preserve">Tabulka 22 Celkové výdaje státního rozpočtu na financování programů </w:t>
        </w:r>
        <w:r w:rsidRPr="005D11D3">
          <w:rPr>
            <w:rStyle w:val="Hypertextovodkaz"/>
            <w:i/>
            <w:noProof/>
          </w:rPr>
          <w:t>(v mld. Kč)</w:t>
        </w:r>
        <w:r>
          <w:rPr>
            <w:noProof/>
            <w:webHidden/>
          </w:rPr>
          <w:tab/>
        </w:r>
        <w:r>
          <w:rPr>
            <w:noProof/>
            <w:webHidden/>
          </w:rPr>
          <w:fldChar w:fldCharType="begin"/>
        </w:r>
        <w:r>
          <w:rPr>
            <w:noProof/>
            <w:webHidden/>
          </w:rPr>
          <w:instrText xml:space="preserve"> PAGEREF _Toc175913944 \h </w:instrText>
        </w:r>
        <w:r>
          <w:rPr>
            <w:noProof/>
            <w:webHidden/>
          </w:rPr>
        </w:r>
        <w:r>
          <w:rPr>
            <w:noProof/>
            <w:webHidden/>
          </w:rPr>
          <w:fldChar w:fldCharType="separate"/>
        </w:r>
        <w:r>
          <w:rPr>
            <w:noProof/>
            <w:webHidden/>
          </w:rPr>
          <w:t>40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5" w:history="1">
        <w:r w:rsidRPr="005D11D3">
          <w:rPr>
            <w:rStyle w:val="Hypertextovodkaz"/>
            <w:noProof/>
          </w:rPr>
          <w:t xml:space="preserve">Tabulka 23 Neinvestiční transfery neziskovým a podobným organizacím </w:t>
        </w:r>
        <w:r w:rsidRPr="005D11D3">
          <w:rPr>
            <w:rStyle w:val="Hypertextovodkaz"/>
            <w:i/>
            <w:noProof/>
          </w:rPr>
          <w:t>(v mil. Kč)</w:t>
        </w:r>
        <w:r>
          <w:rPr>
            <w:noProof/>
            <w:webHidden/>
          </w:rPr>
          <w:tab/>
        </w:r>
        <w:r>
          <w:rPr>
            <w:noProof/>
            <w:webHidden/>
          </w:rPr>
          <w:fldChar w:fldCharType="begin"/>
        </w:r>
        <w:r>
          <w:rPr>
            <w:noProof/>
            <w:webHidden/>
          </w:rPr>
          <w:instrText xml:space="preserve"> PAGEREF _Toc175913945 \h </w:instrText>
        </w:r>
        <w:r>
          <w:rPr>
            <w:noProof/>
            <w:webHidden/>
          </w:rPr>
        </w:r>
        <w:r>
          <w:rPr>
            <w:noProof/>
            <w:webHidden/>
          </w:rPr>
          <w:fldChar w:fldCharType="separate"/>
        </w:r>
        <w:r>
          <w:rPr>
            <w:noProof/>
            <w:webHidden/>
          </w:rPr>
          <w:t>43</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6" w:history="1">
        <w:r w:rsidRPr="005D11D3">
          <w:rPr>
            <w:rStyle w:val="Hypertextovodkaz"/>
            <w:noProof/>
          </w:rPr>
          <w:t xml:space="preserve">Tabulka 24 Investiční transfery neziskovým a podobným organizacím </w:t>
        </w:r>
        <w:r w:rsidRPr="005D11D3">
          <w:rPr>
            <w:rStyle w:val="Hypertextovodkaz"/>
            <w:i/>
            <w:noProof/>
          </w:rPr>
          <w:t>(v mil. Kč)</w:t>
        </w:r>
        <w:r>
          <w:rPr>
            <w:noProof/>
            <w:webHidden/>
          </w:rPr>
          <w:tab/>
        </w:r>
        <w:r>
          <w:rPr>
            <w:noProof/>
            <w:webHidden/>
          </w:rPr>
          <w:fldChar w:fldCharType="begin"/>
        </w:r>
        <w:r>
          <w:rPr>
            <w:noProof/>
            <w:webHidden/>
          </w:rPr>
          <w:instrText xml:space="preserve"> PAGEREF _Toc175913946 \h </w:instrText>
        </w:r>
        <w:r>
          <w:rPr>
            <w:noProof/>
            <w:webHidden/>
          </w:rPr>
        </w:r>
        <w:r>
          <w:rPr>
            <w:noProof/>
            <w:webHidden/>
          </w:rPr>
          <w:fldChar w:fldCharType="separate"/>
        </w:r>
        <w:r>
          <w:rPr>
            <w:noProof/>
            <w:webHidden/>
          </w:rPr>
          <w:t>43</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7" w:history="1">
        <w:r w:rsidRPr="005D11D3">
          <w:rPr>
            <w:rStyle w:val="Hypertextovodkaz"/>
            <w:noProof/>
          </w:rPr>
          <w:t xml:space="preserve">Tabulka 25 Vývoj výdajů na výzkum, vývoj a inovace </w:t>
        </w:r>
        <w:r w:rsidRPr="005D11D3">
          <w:rPr>
            <w:rStyle w:val="Hypertextovodkaz"/>
            <w:i/>
            <w:noProof/>
          </w:rPr>
          <w:t>(v mld. Kč)</w:t>
        </w:r>
        <w:r>
          <w:rPr>
            <w:noProof/>
            <w:webHidden/>
          </w:rPr>
          <w:tab/>
        </w:r>
        <w:r>
          <w:rPr>
            <w:noProof/>
            <w:webHidden/>
          </w:rPr>
          <w:fldChar w:fldCharType="begin"/>
        </w:r>
        <w:r>
          <w:rPr>
            <w:noProof/>
            <w:webHidden/>
          </w:rPr>
          <w:instrText xml:space="preserve"> PAGEREF _Toc175913947 \h </w:instrText>
        </w:r>
        <w:r>
          <w:rPr>
            <w:noProof/>
            <w:webHidden/>
          </w:rPr>
        </w:r>
        <w:r>
          <w:rPr>
            <w:noProof/>
            <w:webHidden/>
          </w:rPr>
          <w:fldChar w:fldCharType="separate"/>
        </w:r>
        <w:r>
          <w:rPr>
            <w:noProof/>
            <w:webHidden/>
          </w:rPr>
          <w:t>44</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8" w:history="1">
        <w:r w:rsidRPr="005D11D3">
          <w:rPr>
            <w:rStyle w:val="Hypertextovodkaz"/>
            <w:noProof/>
          </w:rPr>
          <w:t xml:space="preserve">Tabulka 26 Výdaje na obranu státu podle kapitol státního rozpočtu </w:t>
        </w:r>
        <w:r w:rsidRPr="005D11D3">
          <w:rPr>
            <w:rStyle w:val="Hypertextovodkaz"/>
            <w:i/>
            <w:noProof/>
          </w:rPr>
          <w:t>(v Kč)</w:t>
        </w:r>
        <w:r>
          <w:rPr>
            <w:noProof/>
            <w:webHidden/>
          </w:rPr>
          <w:tab/>
        </w:r>
        <w:r>
          <w:rPr>
            <w:noProof/>
            <w:webHidden/>
          </w:rPr>
          <w:fldChar w:fldCharType="begin"/>
        </w:r>
        <w:r>
          <w:rPr>
            <w:noProof/>
            <w:webHidden/>
          </w:rPr>
          <w:instrText xml:space="preserve"> PAGEREF _Toc175913948 \h </w:instrText>
        </w:r>
        <w:r>
          <w:rPr>
            <w:noProof/>
            <w:webHidden/>
          </w:rPr>
        </w:r>
        <w:r>
          <w:rPr>
            <w:noProof/>
            <w:webHidden/>
          </w:rPr>
          <w:fldChar w:fldCharType="separate"/>
        </w:r>
        <w:r>
          <w:rPr>
            <w:noProof/>
            <w:webHidden/>
          </w:rPr>
          <w:t>46</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49" w:history="1">
        <w:r w:rsidRPr="005D11D3">
          <w:rPr>
            <w:rStyle w:val="Hypertextovodkaz"/>
            <w:noProof/>
          </w:rPr>
          <w:t>Tabulka 27 Vývoj státního dluhu a jeho podílu na HDP</w:t>
        </w:r>
        <w:r>
          <w:rPr>
            <w:noProof/>
            <w:webHidden/>
          </w:rPr>
          <w:tab/>
        </w:r>
        <w:r>
          <w:rPr>
            <w:noProof/>
            <w:webHidden/>
          </w:rPr>
          <w:fldChar w:fldCharType="begin"/>
        </w:r>
        <w:r>
          <w:rPr>
            <w:noProof/>
            <w:webHidden/>
          </w:rPr>
          <w:instrText xml:space="preserve"> PAGEREF _Toc175913949 \h </w:instrText>
        </w:r>
        <w:r>
          <w:rPr>
            <w:noProof/>
            <w:webHidden/>
          </w:rPr>
        </w:r>
        <w:r>
          <w:rPr>
            <w:noProof/>
            <w:webHidden/>
          </w:rPr>
          <w:fldChar w:fldCharType="separate"/>
        </w:r>
        <w:r>
          <w:rPr>
            <w:noProof/>
            <w:webHidden/>
          </w:rPr>
          <w:t>49</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0" w:history="1">
        <w:r w:rsidRPr="005D11D3">
          <w:rPr>
            <w:rStyle w:val="Hypertextovodkaz"/>
            <w:noProof/>
          </w:rPr>
          <w:t xml:space="preserve">Tabulka 28 Struktura státního dluhu </w:t>
        </w:r>
        <w:r w:rsidRPr="005D11D3">
          <w:rPr>
            <w:rStyle w:val="Hypertextovodkaz"/>
            <w:i/>
            <w:noProof/>
          </w:rPr>
          <w:t>(v mld. Kč)</w:t>
        </w:r>
        <w:r>
          <w:rPr>
            <w:noProof/>
            <w:webHidden/>
          </w:rPr>
          <w:tab/>
        </w:r>
        <w:r>
          <w:rPr>
            <w:noProof/>
            <w:webHidden/>
          </w:rPr>
          <w:fldChar w:fldCharType="begin"/>
        </w:r>
        <w:r>
          <w:rPr>
            <w:noProof/>
            <w:webHidden/>
          </w:rPr>
          <w:instrText xml:space="preserve"> PAGEREF _Toc175913950 \h </w:instrText>
        </w:r>
        <w:r>
          <w:rPr>
            <w:noProof/>
            <w:webHidden/>
          </w:rPr>
        </w:r>
        <w:r>
          <w:rPr>
            <w:noProof/>
            <w:webHidden/>
          </w:rPr>
          <w:fldChar w:fldCharType="separate"/>
        </w:r>
        <w:r>
          <w:rPr>
            <w:noProof/>
            <w:webHidden/>
          </w:rPr>
          <w:t>51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1" w:history="1">
        <w:r w:rsidRPr="005D11D3">
          <w:rPr>
            <w:rStyle w:val="Hypertextovodkaz"/>
            <w:noProof/>
          </w:rPr>
          <w:t xml:space="preserve">Tabulka 29 Základní ukazatele kapitoly Státní dluh </w:t>
        </w:r>
        <w:r w:rsidRPr="005D11D3">
          <w:rPr>
            <w:rStyle w:val="Hypertextovodkaz"/>
            <w:i/>
            <w:noProof/>
          </w:rPr>
          <w:t>(v mil. Kč)</w:t>
        </w:r>
        <w:r>
          <w:rPr>
            <w:noProof/>
            <w:webHidden/>
          </w:rPr>
          <w:tab/>
        </w:r>
        <w:r>
          <w:rPr>
            <w:noProof/>
            <w:webHidden/>
          </w:rPr>
          <w:fldChar w:fldCharType="begin"/>
        </w:r>
        <w:r>
          <w:rPr>
            <w:noProof/>
            <w:webHidden/>
          </w:rPr>
          <w:instrText xml:space="preserve"> PAGEREF _Toc175913951 \h </w:instrText>
        </w:r>
        <w:r>
          <w:rPr>
            <w:noProof/>
            <w:webHidden/>
          </w:rPr>
        </w:r>
        <w:r>
          <w:rPr>
            <w:noProof/>
            <w:webHidden/>
          </w:rPr>
          <w:fldChar w:fldCharType="separate"/>
        </w:r>
        <w:r>
          <w:rPr>
            <w:noProof/>
            <w:webHidden/>
          </w:rPr>
          <w:t>52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2" w:history="1">
        <w:r w:rsidRPr="005D11D3">
          <w:rPr>
            <w:rStyle w:val="Hypertextovodkaz"/>
            <w:noProof/>
          </w:rPr>
          <w:t xml:space="preserve">Tabulka 30 Vývoj příjmů z rozpočtu EU a odvodů do rozpočtu EU </w:t>
        </w:r>
        <w:r w:rsidRPr="005D11D3">
          <w:rPr>
            <w:rStyle w:val="Hypertextovodkaz"/>
            <w:i/>
            <w:noProof/>
          </w:rPr>
          <w:t>(skutečnost v mld. Kč)</w:t>
        </w:r>
        <w:r>
          <w:rPr>
            <w:noProof/>
            <w:webHidden/>
          </w:rPr>
          <w:tab/>
        </w:r>
        <w:r>
          <w:rPr>
            <w:noProof/>
            <w:webHidden/>
          </w:rPr>
          <w:fldChar w:fldCharType="begin"/>
        </w:r>
        <w:r>
          <w:rPr>
            <w:noProof/>
            <w:webHidden/>
          </w:rPr>
          <w:instrText xml:space="preserve"> PAGEREF _Toc175913952 \h </w:instrText>
        </w:r>
        <w:r>
          <w:rPr>
            <w:noProof/>
            <w:webHidden/>
          </w:rPr>
        </w:r>
        <w:r>
          <w:rPr>
            <w:noProof/>
            <w:webHidden/>
          </w:rPr>
          <w:fldChar w:fldCharType="separate"/>
        </w:r>
        <w:r>
          <w:rPr>
            <w:noProof/>
            <w:webHidden/>
          </w:rPr>
          <w:t>54</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3" w:history="1">
        <w:r w:rsidRPr="005D11D3">
          <w:rPr>
            <w:rStyle w:val="Hypertextovodkaz"/>
            <w:noProof/>
          </w:rPr>
          <w:t xml:space="preserve">Tabulka 31 Odvody do EU </w:t>
        </w:r>
        <w:r w:rsidRPr="005D11D3">
          <w:rPr>
            <w:rStyle w:val="Hypertextovodkaz"/>
            <w:i/>
            <w:noProof/>
          </w:rPr>
          <w:t>(v mld. Kč)</w:t>
        </w:r>
        <w:r>
          <w:rPr>
            <w:noProof/>
            <w:webHidden/>
          </w:rPr>
          <w:tab/>
        </w:r>
        <w:r>
          <w:rPr>
            <w:noProof/>
            <w:webHidden/>
          </w:rPr>
          <w:fldChar w:fldCharType="begin"/>
        </w:r>
        <w:r>
          <w:rPr>
            <w:noProof/>
            <w:webHidden/>
          </w:rPr>
          <w:instrText xml:space="preserve"> PAGEREF _Toc175913953 \h </w:instrText>
        </w:r>
        <w:r>
          <w:rPr>
            <w:noProof/>
            <w:webHidden/>
          </w:rPr>
        </w:r>
        <w:r>
          <w:rPr>
            <w:noProof/>
            <w:webHidden/>
          </w:rPr>
          <w:fldChar w:fldCharType="separate"/>
        </w:r>
        <w:r>
          <w:rPr>
            <w:noProof/>
            <w:webHidden/>
          </w:rPr>
          <w:t>56</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4" w:history="1">
        <w:r w:rsidRPr="005D11D3">
          <w:rPr>
            <w:rStyle w:val="Hypertextovodkaz"/>
            <w:noProof/>
          </w:rPr>
          <w:t xml:space="preserve">Tabulka 32 Porovnání výdajů za oblast EU/FM </w:t>
        </w:r>
        <w:r w:rsidRPr="005D11D3">
          <w:rPr>
            <w:rStyle w:val="Hypertextovodkaz"/>
            <w:i/>
            <w:noProof/>
          </w:rPr>
          <w:t>(v mil. Kč)</w:t>
        </w:r>
        <w:r>
          <w:rPr>
            <w:noProof/>
            <w:webHidden/>
          </w:rPr>
          <w:tab/>
        </w:r>
        <w:r>
          <w:rPr>
            <w:noProof/>
            <w:webHidden/>
          </w:rPr>
          <w:fldChar w:fldCharType="begin"/>
        </w:r>
        <w:r>
          <w:rPr>
            <w:noProof/>
            <w:webHidden/>
          </w:rPr>
          <w:instrText xml:space="preserve"> PAGEREF _Toc175913954 \h </w:instrText>
        </w:r>
        <w:r>
          <w:rPr>
            <w:noProof/>
            <w:webHidden/>
          </w:rPr>
        </w:r>
        <w:r>
          <w:rPr>
            <w:noProof/>
            <w:webHidden/>
          </w:rPr>
          <w:fldChar w:fldCharType="separate"/>
        </w:r>
        <w:r>
          <w:rPr>
            <w:noProof/>
            <w:webHidden/>
          </w:rPr>
          <w:t>59</w:t>
        </w:r>
        <w:r>
          <w:rPr>
            <w:noProof/>
            <w:webHidden/>
          </w:rPr>
          <w:fldChar w:fldCharType="end"/>
        </w:r>
      </w:hyperlink>
    </w:p>
    <w:p w:rsidR="009219C0" w:rsidRPr="005A7B7B" w:rsidRDefault="009219C0" w:rsidP="002A65AE">
      <w:pPr>
        <w:pStyle w:val="Seznamobrzk"/>
      </w:pPr>
      <w:r w:rsidRPr="005A7B7B">
        <w:fldChar w:fldCharType="end"/>
      </w:r>
    </w:p>
    <w:p w:rsidR="00D15AE3" w:rsidRPr="005A7B7B" w:rsidRDefault="007F14ED" w:rsidP="00FB23C2">
      <w:pPr>
        <w:pStyle w:val="SRNadpismal"/>
      </w:pPr>
      <w:bookmarkStart w:id="2" w:name="_Toc175913864"/>
      <w:r w:rsidRPr="005A7B7B">
        <w:lastRenderedPageBreak/>
        <w:t>S</w:t>
      </w:r>
      <w:r w:rsidR="00D15AE3" w:rsidRPr="005A7B7B">
        <w:t xml:space="preserve">eznam </w:t>
      </w:r>
      <w:r w:rsidR="00E55932" w:rsidRPr="005A7B7B">
        <w:t>grafů</w:t>
      </w:r>
      <w:bookmarkEnd w:id="2"/>
    </w:p>
    <w:bookmarkStart w:id="3" w:name="_GoBack"/>
    <w:bookmarkEnd w:id="3"/>
    <w:p w:rsidR="00597ADA" w:rsidRDefault="00E55932">
      <w:pPr>
        <w:pStyle w:val="Seznamobrzk"/>
        <w:rPr>
          <w:rFonts w:asciiTheme="minorHAnsi" w:eastAsiaTheme="minorEastAsia" w:hAnsiTheme="minorHAnsi" w:cstheme="minorBidi"/>
          <w:noProof/>
          <w:sz w:val="22"/>
          <w:szCs w:val="22"/>
        </w:rPr>
      </w:pPr>
      <w:r w:rsidRPr="005A7B7B">
        <w:rPr>
          <w:b/>
        </w:rPr>
        <w:fldChar w:fldCharType="begin"/>
      </w:r>
      <w:r w:rsidRPr="005A7B7B">
        <w:rPr>
          <w:b/>
        </w:rPr>
        <w:instrText xml:space="preserve"> TOC \h \z \c "Graf" </w:instrText>
      </w:r>
      <w:r w:rsidRPr="005A7B7B">
        <w:rPr>
          <w:b/>
        </w:rPr>
        <w:fldChar w:fldCharType="separate"/>
      </w:r>
      <w:hyperlink w:anchor="_Toc175913955" w:history="1">
        <w:r w:rsidR="00597ADA" w:rsidRPr="00956A02">
          <w:rPr>
            <w:rStyle w:val="Hypertextovodkaz"/>
            <w:noProof/>
          </w:rPr>
          <w:t xml:space="preserve">Graf 1 Vývoj deficitu státního rozpočtu vč. EU/FM a úč. oper. PRV </w:t>
        </w:r>
        <w:r w:rsidR="00597ADA" w:rsidRPr="00956A02">
          <w:rPr>
            <w:rStyle w:val="Hypertextovodkaz"/>
            <w:i/>
            <w:noProof/>
          </w:rPr>
          <w:t>(v mld. Kč)</w:t>
        </w:r>
        <w:r w:rsidR="00597ADA">
          <w:rPr>
            <w:noProof/>
            <w:webHidden/>
          </w:rPr>
          <w:tab/>
        </w:r>
        <w:r w:rsidR="00597ADA">
          <w:rPr>
            <w:noProof/>
            <w:webHidden/>
          </w:rPr>
          <w:fldChar w:fldCharType="begin"/>
        </w:r>
        <w:r w:rsidR="00597ADA">
          <w:rPr>
            <w:noProof/>
            <w:webHidden/>
          </w:rPr>
          <w:instrText xml:space="preserve"> PAGEREF _Toc175913955 \h </w:instrText>
        </w:r>
        <w:r w:rsidR="00597ADA">
          <w:rPr>
            <w:noProof/>
            <w:webHidden/>
          </w:rPr>
        </w:r>
        <w:r w:rsidR="00597ADA">
          <w:rPr>
            <w:noProof/>
            <w:webHidden/>
          </w:rPr>
          <w:fldChar w:fldCharType="separate"/>
        </w:r>
        <w:r w:rsidR="00597ADA">
          <w:rPr>
            <w:noProof/>
            <w:webHidden/>
          </w:rPr>
          <w:t>7</w:t>
        </w:r>
        <w:r w:rsidR="00597ADA">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6" w:history="1">
        <w:r w:rsidRPr="00956A02">
          <w:rPr>
            <w:rStyle w:val="Hypertextovodkaz"/>
            <w:noProof/>
          </w:rPr>
          <w:t xml:space="preserve">Graf 2 Vývoj základních parametrů státního rozpočtu bez EU/FM a úč. oper. PRV </w:t>
        </w:r>
        <w:r w:rsidRPr="00956A02">
          <w:rPr>
            <w:rStyle w:val="Hypertextovodkaz"/>
            <w:i/>
            <w:noProof/>
          </w:rPr>
          <w:t>(v mld. Kč)</w:t>
        </w:r>
        <w:r>
          <w:rPr>
            <w:noProof/>
            <w:webHidden/>
          </w:rPr>
          <w:tab/>
        </w:r>
        <w:r>
          <w:rPr>
            <w:noProof/>
            <w:webHidden/>
          </w:rPr>
          <w:fldChar w:fldCharType="begin"/>
        </w:r>
        <w:r>
          <w:rPr>
            <w:noProof/>
            <w:webHidden/>
          </w:rPr>
          <w:instrText xml:space="preserve"> PAGEREF _Toc175913956 \h </w:instrText>
        </w:r>
        <w:r>
          <w:rPr>
            <w:noProof/>
            <w:webHidden/>
          </w:rPr>
        </w:r>
        <w:r>
          <w:rPr>
            <w:noProof/>
            <w:webHidden/>
          </w:rPr>
          <w:fldChar w:fldCharType="separate"/>
        </w:r>
        <w:r>
          <w:rPr>
            <w:noProof/>
            <w:webHidden/>
          </w:rPr>
          <w:t>8</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7" w:history="1">
        <w:r w:rsidRPr="00956A02">
          <w:rPr>
            <w:rStyle w:val="Hypertextovodkaz"/>
            <w:noProof/>
          </w:rPr>
          <w:t xml:space="preserve">Graf 3 Struktura příjmů státního rozpočtu </w:t>
        </w:r>
        <w:r w:rsidRPr="00956A02">
          <w:rPr>
            <w:rStyle w:val="Hypertextovodkaz"/>
            <w:i/>
            <w:noProof/>
          </w:rPr>
          <w:t>(v mld. Kč)</w:t>
        </w:r>
        <w:r>
          <w:rPr>
            <w:noProof/>
            <w:webHidden/>
          </w:rPr>
          <w:tab/>
        </w:r>
        <w:r>
          <w:rPr>
            <w:noProof/>
            <w:webHidden/>
          </w:rPr>
          <w:fldChar w:fldCharType="begin"/>
        </w:r>
        <w:r>
          <w:rPr>
            <w:noProof/>
            <w:webHidden/>
          </w:rPr>
          <w:instrText xml:space="preserve"> PAGEREF _Toc175913957 \h </w:instrText>
        </w:r>
        <w:r>
          <w:rPr>
            <w:noProof/>
            <w:webHidden/>
          </w:rPr>
        </w:r>
        <w:r>
          <w:rPr>
            <w:noProof/>
            <w:webHidden/>
          </w:rPr>
          <w:fldChar w:fldCharType="separate"/>
        </w:r>
        <w:r>
          <w:rPr>
            <w:noProof/>
            <w:webHidden/>
          </w:rPr>
          <w:t>11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8" w:history="1">
        <w:r w:rsidRPr="00956A02">
          <w:rPr>
            <w:rStyle w:val="Hypertextovodkaz"/>
            <w:noProof/>
          </w:rPr>
          <w:t xml:space="preserve">Graf 4 Struktura příjmů státního rozpočtu v roce 2025 </w:t>
        </w:r>
        <w:r w:rsidRPr="00956A02">
          <w:rPr>
            <w:rStyle w:val="Hypertextovodkaz"/>
            <w:i/>
            <w:noProof/>
          </w:rPr>
          <w:t>(v mld. Kč)</w:t>
        </w:r>
        <w:r>
          <w:rPr>
            <w:noProof/>
            <w:webHidden/>
          </w:rPr>
          <w:tab/>
        </w:r>
        <w:r>
          <w:rPr>
            <w:noProof/>
            <w:webHidden/>
          </w:rPr>
          <w:fldChar w:fldCharType="begin"/>
        </w:r>
        <w:r>
          <w:rPr>
            <w:noProof/>
            <w:webHidden/>
          </w:rPr>
          <w:instrText xml:space="preserve"> PAGEREF _Toc175913958 \h </w:instrText>
        </w:r>
        <w:r>
          <w:rPr>
            <w:noProof/>
            <w:webHidden/>
          </w:rPr>
        </w:r>
        <w:r>
          <w:rPr>
            <w:noProof/>
            <w:webHidden/>
          </w:rPr>
          <w:fldChar w:fldCharType="separate"/>
        </w:r>
        <w:r>
          <w:rPr>
            <w:noProof/>
            <w:webHidden/>
          </w:rPr>
          <w:t>12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59" w:history="1">
        <w:r w:rsidRPr="00956A02">
          <w:rPr>
            <w:rStyle w:val="Hypertextovodkaz"/>
            <w:noProof/>
          </w:rPr>
          <w:t xml:space="preserve">Graf 5 Hospodaření důchodového systému od roku 2007 </w:t>
        </w:r>
        <w:r w:rsidRPr="00956A02">
          <w:rPr>
            <w:rStyle w:val="Hypertextovodkaz"/>
            <w:i/>
            <w:noProof/>
          </w:rPr>
          <w:t>(v mld. Kč)</w:t>
        </w:r>
        <w:r>
          <w:rPr>
            <w:noProof/>
            <w:webHidden/>
          </w:rPr>
          <w:tab/>
        </w:r>
        <w:r>
          <w:rPr>
            <w:noProof/>
            <w:webHidden/>
          </w:rPr>
          <w:fldChar w:fldCharType="begin"/>
        </w:r>
        <w:r>
          <w:rPr>
            <w:noProof/>
            <w:webHidden/>
          </w:rPr>
          <w:instrText xml:space="preserve"> PAGEREF _Toc175913959 \h </w:instrText>
        </w:r>
        <w:r>
          <w:rPr>
            <w:noProof/>
            <w:webHidden/>
          </w:rPr>
        </w:r>
        <w:r>
          <w:rPr>
            <w:noProof/>
            <w:webHidden/>
          </w:rPr>
          <w:fldChar w:fldCharType="separate"/>
        </w:r>
        <w:r>
          <w:rPr>
            <w:noProof/>
            <w:webHidden/>
          </w:rPr>
          <w:t>17</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0" w:history="1">
        <w:r w:rsidRPr="00956A02">
          <w:rPr>
            <w:rStyle w:val="Hypertextovodkaz"/>
            <w:noProof/>
          </w:rPr>
          <w:t xml:space="preserve">Graf 6 Struktura celkových výdajů státního rozpočtu bez EU/FM a úč. oper. PRV </w:t>
        </w:r>
        <w:r w:rsidRPr="00956A02">
          <w:rPr>
            <w:rStyle w:val="Hypertextovodkaz"/>
            <w:i/>
            <w:noProof/>
          </w:rPr>
          <w:t>(v mld. Kč)</w:t>
        </w:r>
        <w:r>
          <w:rPr>
            <w:noProof/>
            <w:webHidden/>
          </w:rPr>
          <w:tab/>
        </w:r>
        <w:r>
          <w:rPr>
            <w:noProof/>
            <w:webHidden/>
          </w:rPr>
          <w:fldChar w:fldCharType="begin"/>
        </w:r>
        <w:r>
          <w:rPr>
            <w:noProof/>
            <w:webHidden/>
          </w:rPr>
          <w:instrText xml:space="preserve"> PAGEREF _Toc175913960 \h </w:instrText>
        </w:r>
        <w:r>
          <w:rPr>
            <w:noProof/>
            <w:webHidden/>
          </w:rPr>
        </w:r>
        <w:r>
          <w:rPr>
            <w:noProof/>
            <w:webHidden/>
          </w:rPr>
          <w:fldChar w:fldCharType="separate"/>
        </w:r>
        <w:r>
          <w:rPr>
            <w:noProof/>
            <w:webHidden/>
          </w:rPr>
          <w:t>20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1" w:history="1">
        <w:r w:rsidRPr="00956A02">
          <w:rPr>
            <w:rStyle w:val="Hypertextovodkaz"/>
            <w:noProof/>
          </w:rPr>
          <w:t xml:space="preserve">Graf 7 Vývoj základních ukazatelů státního rozpočtu bez EU/FM a úč. oper. v rámci PRV </w:t>
        </w:r>
        <w:r w:rsidRPr="00956A02">
          <w:rPr>
            <w:rStyle w:val="Hypertextovodkaz"/>
            <w:i/>
            <w:noProof/>
          </w:rPr>
          <w:t>(v mld. Kč)</w:t>
        </w:r>
        <w:r>
          <w:rPr>
            <w:noProof/>
            <w:webHidden/>
          </w:rPr>
          <w:tab/>
        </w:r>
        <w:r>
          <w:rPr>
            <w:noProof/>
            <w:webHidden/>
          </w:rPr>
          <w:fldChar w:fldCharType="begin"/>
        </w:r>
        <w:r>
          <w:rPr>
            <w:noProof/>
            <w:webHidden/>
          </w:rPr>
          <w:instrText xml:space="preserve"> PAGEREF _Toc175913961 \h </w:instrText>
        </w:r>
        <w:r>
          <w:rPr>
            <w:noProof/>
            <w:webHidden/>
          </w:rPr>
        </w:r>
        <w:r>
          <w:rPr>
            <w:noProof/>
            <w:webHidden/>
          </w:rPr>
          <w:fldChar w:fldCharType="separate"/>
        </w:r>
        <w:r>
          <w:rPr>
            <w:noProof/>
            <w:webHidden/>
          </w:rPr>
          <w:t>21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2" w:history="1">
        <w:r w:rsidRPr="00956A02">
          <w:rPr>
            <w:rStyle w:val="Hypertextovodkaz"/>
            <w:noProof/>
          </w:rPr>
          <w:t xml:space="preserve">Graf 8 Vývoj podílu mandatorních výdajů celkem a quasi MV na celkových výdajích státního rozpočtu bez EU/FM a úč. oper. PRV </w:t>
        </w:r>
        <w:r w:rsidRPr="00956A02">
          <w:rPr>
            <w:rStyle w:val="Hypertextovodkaz"/>
            <w:i/>
            <w:noProof/>
          </w:rPr>
          <w:t>(v %)</w:t>
        </w:r>
        <w:r>
          <w:rPr>
            <w:noProof/>
            <w:webHidden/>
          </w:rPr>
          <w:tab/>
        </w:r>
        <w:r>
          <w:rPr>
            <w:noProof/>
            <w:webHidden/>
          </w:rPr>
          <w:fldChar w:fldCharType="begin"/>
        </w:r>
        <w:r>
          <w:rPr>
            <w:noProof/>
            <w:webHidden/>
          </w:rPr>
          <w:instrText xml:space="preserve"> PAGEREF _Toc175913962 \h </w:instrText>
        </w:r>
        <w:r>
          <w:rPr>
            <w:noProof/>
            <w:webHidden/>
          </w:rPr>
        </w:r>
        <w:r>
          <w:rPr>
            <w:noProof/>
            <w:webHidden/>
          </w:rPr>
          <w:fldChar w:fldCharType="separate"/>
        </w:r>
        <w:r>
          <w:rPr>
            <w:noProof/>
            <w:webHidden/>
          </w:rPr>
          <w:t>22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3" w:history="1">
        <w:r w:rsidRPr="00956A02">
          <w:rPr>
            <w:rStyle w:val="Hypertextovodkaz"/>
            <w:noProof/>
          </w:rPr>
          <w:t xml:space="preserve">Graf 9 Vývoj podílu mandatorních výdajů celkem a quasi MV na příjmech státního rozpočtu bez EU/FM/PRV </w:t>
        </w:r>
        <w:r w:rsidRPr="00956A02">
          <w:rPr>
            <w:rStyle w:val="Hypertextovodkaz"/>
            <w:i/>
            <w:noProof/>
          </w:rPr>
          <w:t>(v %)</w:t>
        </w:r>
        <w:r>
          <w:rPr>
            <w:noProof/>
            <w:webHidden/>
          </w:rPr>
          <w:tab/>
        </w:r>
        <w:r>
          <w:rPr>
            <w:noProof/>
            <w:webHidden/>
          </w:rPr>
          <w:fldChar w:fldCharType="begin"/>
        </w:r>
        <w:r>
          <w:rPr>
            <w:noProof/>
            <w:webHidden/>
          </w:rPr>
          <w:instrText xml:space="preserve"> PAGEREF _Toc175913963 \h </w:instrText>
        </w:r>
        <w:r>
          <w:rPr>
            <w:noProof/>
            <w:webHidden/>
          </w:rPr>
        </w:r>
        <w:r>
          <w:rPr>
            <w:noProof/>
            <w:webHidden/>
          </w:rPr>
          <w:fldChar w:fldCharType="separate"/>
        </w:r>
        <w:r>
          <w:rPr>
            <w:noProof/>
            <w:webHidden/>
          </w:rPr>
          <w:t>23</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4" w:history="1">
        <w:r w:rsidRPr="00956A02">
          <w:rPr>
            <w:rStyle w:val="Hypertextovodkaz"/>
            <w:noProof/>
          </w:rPr>
          <w:t xml:space="preserve">Graf 10 Vývoj kapitálových výdajů </w:t>
        </w:r>
        <w:r w:rsidRPr="00956A02">
          <w:rPr>
            <w:rStyle w:val="Hypertextovodkaz"/>
            <w:i/>
            <w:noProof/>
          </w:rPr>
          <w:t>(v mld. Kč)</w:t>
        </w:r>
        <w:r>
          <w:rPr>
            <w:noProof/>
            <w:webHidden/>
          </w:rPr>
          <w:tab/>
        </w:r>
        <w:r>
          <w:rPr>
            <w:noProof/>
            <w:webHidden/>
          </w:rPr>
          <w:fldChar w:fldCharType="begin"/>
        </w:r>
        <w:r>
          <w:rPr>
            <w:noProof/>
            <w:webHidden/>
          </w:rPr>
          <w:instrText xml:space="preserve"> PAGEREF _Toc175913964 \h </w:instrText>
        </w:r>
        <w:r>
          <w:rPr>
            <w:noProof/>
            <w:webHidden/>
          </w:rPr>
        </w:r>
        <w:r>
          <w:rPr>
            <w:noProof/>
            <w:webHidden/>
          </w:rPr>
          <w:fldChar w:fldCharType="separate"/>
        </w:r>
        <w:r>
          <w:rPr>
            <w:noProof/>
            <w:webHidden/>
          </w:rPr>
          <w:t>24</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5" w:history="1">
        <w:r w:rsidRPr="00956A02">
          <w:rPr>
            <w:rStyle w:val="Hypertextovodkaz"/>
            <w:noProof/>
          </w:rPr>
          <w:t>Graf 11 Vývoj počtu míst v OSS a PO mezi léty 2020 až 2025 (rozpočet a skutečnost)</w:t>
        </w:r>
        <w:r>
          <w:rPr>
            <w:noProof/>
            <w:webHidden/>
          </w:rPr>
          <w:tab/>
        </w:r>
        <w:r>
          <w:rPr>
            <w:noProof/>
            <w:webHidden/>
          </w:rPr>
          <w:fldChar w:fldCharType="begin"/>
        </w:r>
        <w:r>
          <w:rPr>
            <w:noProof/>
            <w:webHidden/>
          </w:rPr>
          <w:instrText xml:space="preserve"> PAGEREF _Toc175913965 \h </w:instrText>
        </w:r>
        <w:r>
          <w:rPr>
            <w:noProof/>
            <w:webHidden/>
          </w:rPr>
        </w:r>
        <w:r>
          <w:rPr>
            <w:noProof/>
            <w:webHidden/>
          </w:rPr>
          <w:fldChar w:fldCharType="separate"/>
        </w:r>
        <w:r>
          <w:rPr>
            <w:noProof/>
            <w:webHidden/>
          </w:rPr>
          <w:t>28</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6" w:history="1">
        <w:r w:rsidRPr="00956A02">
          <w:rPr>
            <w:rStyle w:val="Hypertextovodkaz"/>
            <w:noProof/>
          </w:rPr>
          <w:t>Graf 12 Vývoj počtu míst v regionálním školství mezi léty 2020 a 2025 (rozpočet a skutečnost)</w:t>
        </w:r>
        <w:r>
          <w:rPr>
            <w:noProof/>
            <w:webHidden/>
          </w:rPr>
          <w:tab/>
        </w:r>
        <w:r>
          <w:rPr>
            <w:noProof/>
            <w:webHidden/>
          </w:rPr>
          <w:fldChar w:fldCharType="begin"/>
        </w:r>
        <w:r>
          <w:rPr>
            <w:noProof/>
            <w:webHidden/>
          </w:rPr>
          <w:instrText xml:space="preserve"> PAGEREF _Toc175913966 \h </w:instrText>
        </w:r>
        <w:r>
          <w:rPr>
            <w:noProof/>
            <w:webHidden/>
          </w:rPr>
        </w:r>
        <w:r>
          <w:rPr>
            <w:noProof/>
            <w:webHidden/>
          </w:rPr>
          <w:fldChar w:fldCharType="separate"/>
        </w:r>
        <w:r>
          <w:rPr>
            <w:noProof/>
            <w:webHidden/>
          </w:rPr>
          <w:t>29</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7" w:history="1">
        <w:r w:rsidRPr="00956A02">
          <w:rPr>
            <w:rStyle w:val="Hypertextovodkaz"/>
            <w:noProof/>
          </w:rPr>
          <w:t>Graf 13 Vývoj počtu míst příslušníků bezp. sborů a vojáků mezi léty 2019 a 2024 (rozpočet vs. skutečnost)</w:t>
        </w:r>
        <w:r>
          <w:rPr>
            <w:noProof/>
            <w:webHidden/>
          </w:rPr>
          <w:tab/>
        </w:r>
        <w:r>
          <w:rPr>
            <w:noProof/>
            <w:webHidden/>
          </w:rPr>
          <w:fldChar w:fldCharType="begin"/>
        </w:r>
        <w:r>
          <w:rPr>
            <w:noProof/>
            <w:webHidden/>
          </w:rPr>
          <w:instrText xml:space="preserve"> PAGEREF _Toc175913967 \h </w:instrText>
        </w:r>
        <w:r>
          <w:rPr>
            <w:noProof/>
            <w:webHidden/>
          </w:rPr>
        </w:r>
        <w:r>
          <w:rPr>
            <w:noProof/>
            <w:webHidden/>
          </w:rPr>
          <w:fldChar w:fldCharType="separate"/>
        </w:r>
        <w:r>
          <w:rPr>
            <w:noProof/>
            <w:webHidden/>
          </w:rPr>
          <w:t>29</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8" w:history="1">
        <w:r w:rsidRPr="00956A02">
          <w:rPr>
            <w:rStyle w:val="Hypertextovodkaz"/>
            <w:noProof/>
          </w:rPr>
          <w:t>Graf 14 Změny počtu míst zaměstnanců mezi roky 2024 a 2025 (celková změna – 1 197 míst)</w:t>
        </w:r>
        <w:r>
          <w:rPr>
            <w:noProof/>
            <w:webHidden/>
          </w:rPr>
          <w:tab/>
        </w:r>
        <w:r>
          <w:rPr>
            <w:noProof/>
            <w:webHidden/>
          </w:rPr>
          <w:fldChar w:fldCharType="begin"/>
        </w:r>
        <w:r>
          <w:rPr>
            <w:noProof/>
            <w:webHidden/>
          </w:rPr>
          <w:instrText xml:space="preserve"> PAGEREF _Toc175913968 \h </w:instrText>
        </w:r>
        <w:r>
          <w:rPr>
            <w:noProof/>
            <w:webHidden/>
          </w:rPr>
        </w:r>
        <w:r>
          <w:rPr>
            <w:noProof/>
            <w:webHidden/>
          </w:rPr>
          <w:fldChar w:fldCharType="separate"/>
        </w:r>
        <w:r>
          <w:rPr>
            <w:noProof/>
            <w:webHidden/>
          </w:rPr>
          <w:t>30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69" w:history="1">
        <w:r w:rsidRPr="00956A02">
          <w:rPr>
            <w:rStyle w:val="Hypertextovodkaz"/>
            <w:noProof/>
          </w:rPr>
          <w:t>Graf 15 Druhová struktura užších běžných výdajů ve státním rozpočtu</w:t>
        </w:r>
        <w:r>
          <w:rPr>
            <w:noProof/>
            <w:webHidden/>
          </w:rPr>
          <w:tab/>
        </w:r>
        <w:r>
          <w:rPr>
            <w:noProof/>
            <w:webHidden/>
          </w:rPr>
          <w:fldChar w:fldCharType="begin"/>
        </w:r>
        <w:r>
          <w:rPr>
            <w:noProof/>
            <w:webHidden/>
          </w:rPr>
          <w:instrText xml:space="preserve"> PAGEREF _Toc175913969 \h </w:instrText>
        </w:r>
        <w:r>
          <w:rPr>
            <w:noProof/>
            <w:webHidden/>
          </w:rPr>
        </w:r>
        <w:r>
          <w:rPr>
            <w:noProof/>
            <w:webHidden/>
          </w:rPr>
          <w:fldChar w:fldCharType="separate"/>
        </w:r>
        <w:r>
          <w:rPr>
            <w:noProof/>
            <w:webHidden/>
          </w:rPr>
          <w:t>35</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0" w:history="1">
        <w:r w:rsidRPr="00956A02">
          <w:rPr>
            <w:rStyle w:val="Hypertextovodkaz"/>
            <w:noProof/>
          </w:rPr>
          <w:t>Graf 16 Podíl jednotlivých kapitol na celkovém objemu užších běžných výdajů</w:t>
        </w:r>
        <w:r>
          <w:rPr>
            <w:noProof/>
            <w:webHidden/>
          </w:rPr>
          <w:tab/>
        </w:r>
        <w:r>
          <w:rPr>
            <w:noProof/>
            <w:webHidden/>
          </w:rPr>
          <w:fldChar w:fldCharType="begin"/>
        </w:r>
        <w:r>
          <w:rPr>
            <w:noProof/>
            <w:webHidden/>
          </w:rPr>
          <w:instrText xml:space="preserve"> PAGEREF _Toc175913970 \h </w:instrText>
        </w:r>
        <w:r>
          <w:rPr>
            <w:noProof/>
            <w:webHidden/>
          </w:rPr>
        </w:r>
        <w:r>
          <w:rPr>
            <w:noProof/>
            <w:webHidden/>
          </w:rPr>
          <w:fldChar w:fldCharType="separate"/>
        </w:r>
        <w:r>
          <w:rPr>
            <w:noProof/>
            <w:webHidden/>
          </w:rPr>
          <w:t>38</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1" w:history="1">
        <w:r w:rsidRPr="00956A02">
          <w:rPr>
            <w:rStyle w:val="Hypertextovodkaz"/>
            <w:noProof/>
          </w:rPr>
          <w:t>Graf 17 Transfery celkem neziskovým a podobným organizacím</w:t>
        </w:r>
        <w:r>
          <w:rPr>
            <w:noProof/>
            <w:webHidden/>
          </w:rPr>
          <w:tab/>
        </w:r>
        <w:r>
          <w:rPr>
            <w:noProof/>
            <w:webHidden/>
          </w:rPr>
          <w:fldChar w:fldCharType="begin"/>
        </w:r>
        <w:r>
          <w:rPr>
            <w:noProof/>
            <w:webHidden/>
          </w:rPr>
          <w:instrText xml:space="preserve"> PAGEREF _Toc175913971 \h </w:instrText>
        </w:r>
        <w:r>
          <w:rPr>
            <w:noProof/>
            <w:webHidden/>
          </w:rPr>
        </w:r>
        <w:r>
          <w:rPr>
            <w:noProof/>
            <w:webHidden/>
          </w:rPr>
          <w:fldChar w:fldCharType="separate"/>
        </w:r>
        <w:r>
          <w:rPr>
            <w:noProof/>
            <w:webHidden/>
          </w:rPr>
          <w:t>42</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2" w:history="1">
        <w:r w:rsidRPr="00956A02">
          <w:rPr>
            <w:rStyle w:val="Hypertextovodkaz"/>
            <w:noProof/>
          </w:rPr>
          <w:t xml:space="preserve">Graf 18 Rozdělení výdajů na výzkum, vývoj a inovace dle institucionálních a účelových výdajů a výdajů krytých zahraničními zdroji </w:t>
        </w:r>
        <w:r w:rsidRPr="00956A02">
          <w:rPr>
            <w:rStyle w:val="Hypertextovodkaz"/>
            <w:i/>
            <w:noProof/>
          </w:rPr>
          <w:t>(v mld. Kč)</w:t>
        </w:r>
        <w:r>
          <w:rPr>
            <w:noProof/>
            <w:webHidden/>
          </w:rPr>
          <w:tab/>
        </w:r>
        <w:r>
          <w:rPr>
            <w:noProof/>
            <w:webHidden/>
          </w:rPr>
          <w:fldChar w:fldCharType="begin"/>
        </w:r>
        <w:r>
          <w:rPr>
            <w:noProof/>
            <w:webHidden/>
          </w:rPr>
          <w:instrText xml:space="preserve"> PAGEREF _Toc175913972 \h </w:instrText>
        </w:r>
        <w:r>
          <w:rPr>
            <w:noProof/>
            <w:webHidden/>
          </w:rPr>
        </w:r>
        <w:r>
          <w:rPr>
            <w:noProof/>
            <w:webHidden/>
          </w:rPr>
          <w:fldChar w:fldCharType="separate"/>
        </w:r>
        <w:r>
          <w:rPr>
            <w:noProof/>
            <w:webHidden/>
          </w:rPr>
          <w:t>45</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3" w:history="1">
        <w:r w:rsidRPr="00956A02">
          <w:rPr>
            <w:rStyle w:val="Hypertextovodkaz"/>
            <w:noProof/>
          </w:rPr>
          <w:t>Graf 19 Vývoj státního dluhu a jeho podílu na HDP</w:t>
        </w:r>
        <w:r>
          <w:rPr>
            <w:noProof/>
            <w:webHidden/>
          </w:rPr>
          <w:tab/>
        </w:r>
        <w:r>
          <w:rPr>
            <w:noProof/>
            <w:webHidden/>
          </w:rPr>
          <w:fldChar w:fldCharType="begin"/>
        </w:r>
        <w:r>
          <w:rPr>
            <w:noProof/>
            <w:webHidden/>
          </w:rPr>
          <w:instrText xml:space="preserve"> PAGEREF _Toc175913973 \h </w:instrText>
        </w:r>
        <w:r>
          <w:rPr>
            <w:noProof/>
            <w:webHidden/>
          </w:rPr>
        </w:r>
        <w:r>
          <w:rPr>
            <w:noProof/>
            <w:webHidden/>
          </w:rPr>
          <w:fldChar w:fldCharType="separate"/>
        </w:r>
        <w:r>
          <w:rPr>
            <w:noProof/>
            <w:webHidden/>
          </w:rPr>
          <w:t>50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4" w:history="1">
        <w:r w:rsidRPr="00956A02">
          <w:rPr>
            <w:rStyle w:val="Hypertextovodkaz"/>
            <w:noProof/>
          </w:rPr>
          <w:t xml:space="preserve">Graf 20 Splatnostní profil státního dluhu </w:t>
        </w:r>
        <w:r w:rsidRPr="00956A02">
          <w:rPr>
            <w:rStyle w:val="Hypertextovodkaz"/>
            <w:i/>
            <w:noProof/>
          </w:rPr>
          <w:t>(v mld. Kč)</w:t>
        </w:r>
        <w:r>
          <w:rPr>
            <w:noProof/>
            <w:webHidden/>
          </w:rPr>
          <w:tab/>
        </w:r>
        <w:r>
          <w:rPr>
            <w:noProof/>
            <w:webHidden/>
          </w:rPr>
          <w:fldChar w:fldCharType="begin"/>
        </w:r>
        <w:r>
          <w:rPr>
            <w:noProof/>
            <w:webHidden/>
          </w:rPr>
          <w:instrText xml:space="preserve"> PAGEREF _Toc175913974 \h </w:instrText>
        </w:r>
        <w:r>
          <w:rPr>
            <w:noProof/>
            <w:webHidden/>
          </w:rPr>
        </w:r>
        <w:r>
          <w:rPr>
            <w:noProof/>
            <w:webHidden/>
          </w:rPr>
          <w:fldChar w:fldCharType="separate"/>
        </w:r>
        <w:r>
          <w:rPr>
            <w:noProof/>
            <w:webHidden/>
          </w:rPr>
          <w:t>50</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5" w:history="1">
        <w:r w:rsidRPr="00956A02">
          <w:rPr>
            <w:rStyle w:val="Hypertextovodkaz"/>
            <w:noProof/>
          </w:rPr>
          <w:t>Graf 21 Vývoj výnosů státních dluhopisů a měnově-politické sazby ČNB</w:t>
        </w:r>
        <w:r>
          <w:rPr>
            <w:noProof/>
            <w:webHidden/>
          </w:rPr>
          <w:tab/>
        </w:r>
        <w:r>
          <w:rPr>
            <w:noProof/>
            <w:webHidden/>
          </w:rPr>
          <w:fldChar w:fldCharType="begin"/>
        </w:r>
        <w:r>
          <w:rPr>
            <w:noProof/>
            <w:webHidden/>
          </w:rPr>
          <w:instrText xml:space="preserve"> PAGEREF _Toc175913975 \h </w:instrText>
        </w:r>
        <w:r>
          <w:rPr>
            <w:noProof/>
            <w:webHidden/>
          </w:rPr>
        </w:r>
        <w:r>
          <w:rPr>
            <w:noProof/>
            <w:webHidden/>
          </w:rPr>
          <w:fldChar w:fldCharType="separate"/>
        </w:r>
        <w:r>
          <w:rPr>
            <w:noProof/>
            <w:webHidden/>
          </w:rPr>
          <w:t>51</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6" w:history="1">
        <w:r w:rsidRPr="00956A02">
          <w:rPr>
            <w:rStyle w:val="Hypertextovodkaz"/>
            <w:noProof/>
          </w:rPr>
          <w:t xml:space="preserve">Graf 22 Vývoj čisté pozice ČR vůči rozpočtu EU </w:t>
        </w:r>
        <w:r w:rsidRPr="00956A02">
          <w:rPr>
            <w:rStyle w:val="Hypertextovodkaz"/>
            <w:i/>
            <w:noProof/>
          </w:rPr>
          <w:t>(v mld. Kč)</w:t>
        </w:r>
        <w:r>
          <w:rPr>
            <w:noProof/>
            <w:webHidden/>
          </w:rPr>
          <w:tab/>
        </w:r>
        <w:r>
          <w:rPr>
            <w:noProof/>
            <w:webHidden/>
          </w:rPr>
          <w:fldChar w:fldCharType="begin"/>
        </w:r>
        <w:r>
          <w:rPr>
            <w:noProof/>
            <w:webHidden/>
          </w:rPr>
          <w:instrText xml:space="preserve"> PAGEREF _Toc175913976 \h </w:instrText>
        </w:r>
        <w:r>
          <w:rPr>
            <w:noProof/>
            <w:webHidden/>
          </w:rPr>
        </w:r>
        <w:r>
          <w:rPr>
            <w:noProof/>
            <w:webHidden/>
          </w:rPr>
          <w:fldChar w:fldCharType="separate"/>
        </w:r>
        <w:r>
          <w:rPr>
            <w:noProof/>
            <w:webHidden/>
          </w:rPr>
          <w:t>54</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7" w:history="1">
        <w:r w:rsidRPr="00956A02">
          <w:rPr>
            <w:rStyle w:val="Hypertextovodkaz"/>
            <w:noProof/>
          </w:rPr>
          <w:t xml:space="preserve">Graf 23 NPO celkem dle komponent - kryto příjmem z RRF </w:t>
        </w:r>
        <w:r w:rsidRPr="00956A02">
          <w:rPr>
            <w:rStyle w:val="Hypertextovodkaz"/>
            <w:i/>
            <w:noProof/>
          </w:rPr>
          <w:t>(v mil. Kč)</w:t>
        </w:r>
        <w:r>
          <w:rPr>
            <w:noProof/>
            <w:webHidden/>
          </w:rPr>
          <w:tab/>
        </w:r>
        <w:r>
          <w:rPr>
            <w:noProof/>
            <w:webHidden/>
          </w:rPr>
          <w:fldChar w:fldCharType="begin"/>
        </w:r>
        <w:r>
          <w:rPr>
            <w:noProof/>
            <w:webHidden/>
          </w:rPr>
          <w:instrText xml:space="preserve"> PAGEREF _Toc175913977 \h </w:instrText>
        </w:r>
        <w:r>
          <w:rPr>
            <w:noProof/>
            <w:webHidden/>
          </w:rPr>
        </w:r>
        <w:r>
          <w:rPr>
            <w:noProof/>
            <w:webHidden/>
          </w:rPr>
          <w:fldChar w:fldCharType="separate"/>
        </w:r>
        <w:r>
          <w:rPr>
            <w:noProof/>
            <w:webHidden/>
          </w:rPr>
          <w:t>58</w:t>
        </w:r>
        <w:r>
          <w:rPr>
            <w:noProof/>
            <w:webHidden/>
          </w:rPr>
          <w:fldChar w:fldCharType="end"/>
        </w:r>
      </w:hyperlink>
    </w:p>
    <w:p w:rsidR="00597ADA" w:rsidRDefault="00597ADA">
      <w:pPr>
        <w:pStyle w:val="Seznamobrzk"/>
        <w:rPr>
          <w:rFonts w:asciiTheme="minorHAnsi" w:eastAsiaTheme="minorEastAsia" w:hAnsiTheme="minorHAnsi" w:cstheme="minorBidi"/>
          <w:noProof/>
          <w:sz w:val="22"/>
          <w:szCs w:val="22"/>
        </w:rPr>
      </w:pPr>
      <w:hyperlink w:anchor="_Toc175913978" w:history="1">
        <w:r w:rsidRPr="00956A02">
          <w:rPr>
            <w:rStyle w:val="Hypertextovodkaz"/>
            <w:noProof/>
          </w:rPr>
          <w:t xml:space="preserve">Graf 24 Přehled o programech/projektech EU (vč. podílu SR) v roce 2025 – VFR 2021-2027 </w:t>
        </w:r>
        <w:r w:rsidRPr="00956A02">
          <w:rPr>
            <w:rStyle w:val="Hypertextovodkaz"/>
            <w:i/>
            <w:noProof/>
          </w:rPr>
          <w:t>(v mil. Kč)</w:t>
        </w:r>
        <w:r>
          <w:rPr>
            <w:noProof/>
            <w:webHidden/>
          </w:rPr>
          <w:tab/>
        </w:r>
        <w:r>
          <w:rPr>
            <w:noProof/>
            <w:webHidden/>
          </w:rPr>
          <w:fldChar w:fldCharType="begin"/>
        </w:r>
        <w:r>
          <w:rPr>
            <w:noProof/>
            <w:webHidden/>
          </w:rPr>
          <w:instrText xml:space="preserve"> PAGEREF _Toc175913978 \h </w:instrText>
        </w:r>
        <w:r>
          <w:rPr>
            <w:noProof/>
            <w:webHidden/>
          </w:rPr>
        </w:r>
        <w:r>
          <w:rPr>
            <w:noProof/>
            <w:webHidden/>
          </w:rPr>
          <w:fldChar w:fldCharType="separate"/>
        </w:r>
        <w:r>
          <w:rPr>
            <w:noProof/>
            <w:webHidden/>
          </w:rPr>
          <w:t>58</w:t>
        </w:r>
        <w:r>
          <w:rPr>
            <w:noProof/>
            <w:webHidden/>
          </w:rPr>
          <w:fldChar w:fldCharType="end"/>
        </w:r>
      </w:hyperlink>
    </w:p>
    <w:p w:rsidR="00877BE7" w:rsidRPr="005A7B7B" w:rsidRDefault="00E55932" w:rsidP="003A4138">
      <w:pPr>
        <w:pStyle w:val="Seznamobrzk"/>
        <w:rPr>
          <w:b/>
        </w:rPr>
      </w:pPr>
      <w:r w:rsidRPr="005A7B7B">
        <w:rPr>
          <w:b/>
        </w:rPr>
        <w:fldChar w:fldCharType="end"/>
      </w:r>
    </w:p>
    <w:p w:rsidR="003A4138" w:rsidRPr="005A7B7B" w:rsidRDefault="003A4138" w:rsidP="003A4138"/>
    <w:p w:rsidR="003A4138" w:rsidRPr="005A7B7B" w:rsidRDefault="003A4138" w:rsidP="003A4138"/>
    <w:p w:rsidR="003A4138" w:rsidRPr="005A7B7B" w:rsidRDefault="003A4138" w:rsidP="003A4138">
      <w:pPr>
        <w:sectPr w:rsidR="003A4138" w:rsidRPr="005A7B7B" w:rsidSect="00187B06">
          <w:footerReference w:type="even" r:id="rId14"/>
          <w:footerReference w:type="first" r:id="rId15"/>
          <w:type w:val="oddPage"/>
          <w:pgSz w:w="11906" w:h="16838"/>
          <w:pgMar w:top="1134" w:right="1134" w:bottom="1134" w:left="1134" w:header="709" w:footer="709" w:gutter="0"/>
          <w:pgNumType w:start="1"/>
          <w:cols w:space="708"/>
          <w:titlePg/>
          <w:docGrid w:linePitch="360"/>
        </w:sectPr>
      </w:pPr>
    </w:p>
    <w:p w:rsidR="00830CB1" w:rsidRPr="005A7B7B" w:rsidRDefault="00830CB1" w:rsidP="007866E6">
      <w:pPr>
        <w:pStyle w:val="SRNadpis1"/>
      </w:pPr>
      <w:bookmarkStart w:id="4" w:name="_Toc52369837"/>
      <w:bookmarkStart w:id="5" w:name="_Toc206730426"/>
      <w:bookmarkStart w:id="6" w:name="_Toc238787317"/>
      <w:bookmarkStart w:id="7" w:name="_Toc239042731"/>
      <w:bookmarkStart w:id="8" w:name="_Toc239056360"/>
      <w:bookmarkStart w:id="9" w:name="_Toc239056398"/>
      <w:bookmarkStart w:id="10" w:name="_Toc525714686"/>
      <w:bookmarkStart w:id="11" w:name="_Toc175913865"/>
      <w:r w:rsidRPr="005A7B7B">
        <w:lastRenderedPageBreak/>
        <w:t>Východiska a priority státního rozpočtu na rok 202</w:t>
      </w:r>
      <w:bookmarkEnd w:id="4"/>
      <w:r w:rsidR="008D553D" w:rsidRPr="005A7B7B">
        <w:t>5</w:t>
      </w:r>
      <w:bookmarkEnd w:id="11"/>
    </w:p>
    <w:p w:rsidR="00830CB1" w:rsidRPr="005A7B7B" w:rsidRDefault="00830CB1" w:rsidP="00D06E57">
      <w:pPr>
        <w:pStyle w:val="SRNadpis2"/>
      </w:pPr>
      <w:bookmarkStart w:id="12" w:name="_Toc52369839"/>
      <w:bookmarkStart w:id="13" w:name="_Toc175913866"/>
      <w:r w:rsidRPr="005A7B7B">
        <w:t>Východiska</w:t>
      </w:r>
      <w:bookmarkEnd w:id="12"/>
      <w:bookmarkEnd w:id="13"/>
    </w:p>
    <w:p w:rsidR="00B3445B" w:rsidRPr="005A7B7B" w:rsidRDefault="00B3445B" w:rsidP="00B10007">
      <w:pPr>
        <w:sectPr w:rsidR="00B3445B" w:rsidRPr="005A7B7B" w:rsidSect="007169AE">
          <w:headerReference w:type="even" r:id="rId16"/>
          <w:headerReference w:type="default" r:id="rId17"/>
          <w:footerReference w:type="even" r:id="rId18"/>
          <w:footerReference w:type="default" r:id="rId19"/>
          <w:type w:val="continuous"/>
          <w:pgSz w:w="11906" w:h="16838" w:code="9"/>
          <w:pgMar w:top="1134" w:right="1134" w:bottom="1134" w:left="1134" w:header="709" w:footer="709" w:gutter="0"/>
          <w:cols w:space="397"/>
          <w:docGrid w:linePitch="360"/>
        </w:sectPr>
      </w:pPr>
    </w:p>
    <w:p w:rsidR="008D1396" w:rsidRPr="005A7B7B" w:rsidRDefault="008D1396" w:rsidP="006A138C">
      <w:pPr>
        <w:pStyle w:val="SROdrka1"/>
      </w:pPr>
      <w:r w:rsidRPr="005A7B7B">
        <w:t>Makroekonomická predikce České republiky (zpracovaná Ministerstvem financí v </w:t>
      </w:r>
      <w:r w:rsidR="00544973" w:rsidRPr="005A7B7B">
        <w:t>srpnu</w:t>
      </w:r>
      <w:r w:rsidR="008D553D" w:rsidRPr="005A7B7B">
        <w:t xml:space="preserve"> 2024</w:t>
      </w:r>
      <w:r w:rsidR="001830EE" w:rsidRPr="005A7B7B">
        <w:t>).</w:t>
      </w:r>
    </w:p>
    <w:p w:rsidR="00DA0377" w:rsidRPr="005A7B7B" w:rsidRDefault="00974820" w:rsidP="00974820">
      <w:pPr>
        <w:pStyle w:val="SROdrka1"/>
        <w:rPr>
          <w:lang w:eastAsia="en-US"/>
        </w:rPr>
      </w:pPr>
      <w:r>
        <w:rPr>
          <w:lang w:eastAsia="en-US"/>
        </w:rPr>
        <w:t>Výbor pro rozpočtové prognózy, v souladu se zákonem č. 23/2017 Sb. o pravidlech rozpočtové odpovědnosti, ve znění pozdějších předpisů, posoudil dne 29. srpna 2024 Makroekonomickou predikci České republiky Mini</w:t>
      </w:r>
      <w:r w:rsidR="00D245E5">
        <w:rPr>
          <w:lang w:eastAsia="en-US"/>
        </w:rPr>
        <w:t xml:space="preserve">sterstva financí ze srpna 2024 </w:t>
      </w:r>
      <w:r>
        <w:rPr>
          <w:lang w:eastAsia="en-US"/>
        </w:rPr>
        <w:t xml:space="preserve">z hlediska pravděpodobnosti jejího naplnění a vhodnosti použití v rozpočtovém procesu. Výbor prognózu vyhodnotil jako </w:t>
      </w:r>
      <w:r>
        <w:rPr>
          <w:b/>
          <w:bCs/>
          <w:lang w:eastAsia="en-US"/>
        </w:rPr>
        <w:t>realistickou</w:t>
      </w:r>
      <w:r w:rsidR="00C2639A" w:rsidRPr="00974820">
        <w:rPr>
          <w:b/>
          <w:color w:val="000000"/>
        </w:rPr>
        <w:t>.</w:t>
      </w:r>
    </w:p>
    <w:p w:rsidR="00065D4E" w:rsidRPr="005A7B7B" w:rsidRDefault="00065D4E" w:rsidP="000D440D">
      <w:pPr>
        <w:pStyle w:val="SRTitulek1"/>
      </w:pPr>
      <w:bookmarkStart w:id="14" w:name="_Toc80263994"/>
      <w:bookmarkStart w:id="15" w:name="_Toc175913923"/>
      <w:r w:rsidRPr="005A7B7B">
        <w:t xml:space="preserve">Tabulka </w:t>
      </w:r>
      <w:fldSimple w:instr=" SEQ Tabulka \* ARABIC ">
        <w:r w:rsidR="0010122A">
          <w:rPr>
            <w:noProof/>
          </w:rPr>
          <w:t>1</w:t>
        </w:r>
      </w:fldSimple>
      <w:r w:rsidRPr="005A7B7B">
        <w:t xml:space="preserve"> Predikce základních makroekonomických indikátorů</w:t>
      </w:r>
      <w:bookmarkEnd w:id="14"/>
      <w:bookmarkEnd w:id="15"/>
      <w:r w:rsidR="00647782" w:rsidRPr="005A7B7B">
        <w:t xml:space="preserve"> </w:t>
      </w:r>
    </w:p>
    <w:p w:rsidR="00E36FA5" w:rsidRPr="005A7B7B" w:rsidRDefault="00375E48" w:rsidP="00093D21">
      <w:pPr>
        <w:pStyle w:val="SRTextnomal"/>
      </w:pPr>
      <w:r w:rsidRPr="005A7B7B">
        <w:rPr>
          <w:noProof/>
        </w:rPr>
        <w:drawing>
          <wp:inline distT="0" distB="0" distL="0" distR="0">
            <wp:extent cx="6086475" cy="3333750"/>
            <wp:effectExtent l="0" t="0" r="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3333750"/>
                    </a:xfrm>
                    <a:prstGeom prst="rect">
                      <a:avLst/>
                    </a:prstGeom>
                    <a:noFill/>
                    <a:ln>
                      <a:noFill/>
                    </a:ln>
                  </pic:spPr>
                </pic:pic>
              </a:graphicData>
            </a:graphic>
          </wp:inline>
        </w:drawing>
      </w:r>
    </w:p>
    <w:p w:rsidR="00E36FA5" w:rsidRPr="005A7B7B" w:rsidRDefault="00E36FA5" w:rsidP="006227A2">
      <w:pPr>
        <w:pStyle w:val="SRTextnomal"/>
        <w:sectPr w:rsidR="00E36FA5" w:rsidRPr="005A7B7B" w:rsidSect="00187B06">
          <w:type w:val="continuous"/>
          <w:pgSz w:w="11906" w:h="16838" w:code="9"/>
          <w:pgMar w:top="1134" w:right="1134" w:bottom="1134" w:left="1134" w:header="709" w:footer="709" w:gutter="0"/>
          <w:cols w:space="397"/>
          <w:docGrid w:linePitch="360"/>
        </w:sectPr>
      </w:pPr>
    </w:p>
    <w:p w:rsidR="008B65E6" w:rsidRDefault="008B65E6" w:rsidP="00AC6283">
      <w:pPr>
        <w:pStyle w:val="Zdrojpodtabulkounebografem"/>
        <w:sectPr w:rsidR="008B65E6" w:rsidSect="00187B06">
          <w:type w:val="continuous"/>
          <w:pgSz w:w="11906" w:h="16838" w:code="9"/>
          <w:pgMar w:top="1134" w:right="1134" w:bottom="1134" w:left="1134" w:header="709" w:footer="709" w:gutter="0"/>
          <w:cols w:space="397"/>
          <w:docGrid w:linePitch="360"/>
        </w:sectPr>
      </w:pPr>
    </w:p>
    <w:p w:rsidR="00AC6283" w:rsidRPr="005A7B7B" w:rsidRDefault="00AC6283" w:rsidP="00AC6283">
      <w:pPr>
        <w:pStyle w:val="Zdrojpodtabulkounebografem"/>
      </w:pPr>
      <w:r w:rsidRPr="005A7B7B">
        <w:t>Zdroj: MF ČR (Makro</w:t>
      </w:r>
      <w:r w:rsidR="00AF27EE" w:rsidRPr="005A7B7B">
        <w:t>ekonomická predikce – srpen 2024</w:t>
      </w:r>
      <w:r w:rsidRPr="005A7B7B">
        <w:t>)</w:t>
      </w:r>
    </w:p>
    <w:p w:rsidR="00A64538" w:rsidRPr="005A7B7B" w:rsidRDefault="00A64538" w:rsidP="00A64538">
      <w:pPr>
        <w:sectPr w:rsidR="00A64538" w:rsidRPr="005A7B7B" w:rsidSect="00187B06">
          <w:type w:val="continuous"/>
          <w:pgSz w:w="11906" w:h="16838" w:code="9"/>
          <w:pgMar w:top="1134" w:right="1134" w:bottom="1134" w:left="1134" w:header="709" w:footer="709" w:gutter="0"/>
          <w:cols w:space="397"/>
          <w:docGrid w:linePitch="360"/>
        </w:sectPr>
      </w:pPr>
    </w:p>
    <w:p w:rsidR="00A64538" w:rsidRPr="005A7B7B" w:rsidRDefault="00A64538" w:rsidP="00A64538">
      <w:pPr>
        <w:pStyle w:val="SRNadpis2"/>
      </w:pPr>
      <w:bookmarkStart w:id="16" w:name="_Toc52369840"/>
      <w:bookmarkStart w:id="17" w:name="_Toc175913867"/>
      <w:r w:rsidRPr="005A7B7B">
        <w:t>Hlavní priority státního rozpočtu na rok 202</w:t>
      </w:r>
      <w:bookmarkEnd w:id="16"/>
      <w:r w:rsidRPr="005A7B7B">
        <w:t>5</w:t>
      </w:r>
      <w:bookmarkEnd w:id="17"/>
    </w:p>
    <w:p w:rsidR="00A64538" w:rsidRPr="005A7B7B" w:rsidRDefault="00A64538" w:rsidP="00A64538">
      <w:pPr>
        <w:rPr>
          <w:b/>
        </w:rPr>
        <w:sectPr w:rsidR="00A64538" w:rsidRPr="005A7B7B" w:rsidSect="00A64538">
          <w:type w:val="continuous"/>
          <w:pgSz w:w="11906" w:h="16838" w:code="9"/>
          <w:pgMar w:top="1134" w:right="1134" w:bottom="1134" w:left="1134" w:header="709" w:footer="709" w:gutter="0"/>
          <w:cols w:space="397"/>
          <w:docGrid w:linePitch="360"/>
        </w:sectPr>
      </w:pPr>
    </w:p>
    <w:p w:rsidR="00A64538" w:rsidRPr="005A7B7B" w:rsidRDefault="00A64538" w:rsidP="00A64538">
      <w:pPr>
        <w:pStyle w:val="SRTextnomal"/>
        <w:rPr>
          <w:b/>
        </w:rPr>
      </w:pPr>
      <w:r w:rsidRPr="005A7B7B">
        <w:rPr>
          <w:b/>
        </w:rPr>
        <w:t>Hlavními prioritami státního rozpočtu na rok 2025 jsou:</w:t>
      </w:r>
    </w:p>
    <w:p w:rsidR="00A64538" w:rsidRPr="005A7B7B" w:rsidRDefault="00A64538" w:rsidP="00A64538">
      <w:pPr>
        <w:pStyle w:val="SROdrka1"/>
      </w:pPr>
      <w:r w:rsidRPr="005A7B7B">
        <w:t>konsolidace veřejných rozpočtů,</w:t>
      </w:r>
    </w:p>
    <w:p w:rsidR="00A64538" w:rsidRPr="005A7B7B" w:rsidRDefault="00A64538" w:rsidP="00A64538">
      <w:pPr>
        <w:pStyle w:val="SROdrka1"/>
      </w:pPr>
      <w:r w:rsidRPr="005A7B7B">
        <w:t>posílení investičního úsilí – rekordní výše kapitálových výdajů ve státním rozpočtu,</w:t>
      </w:r>
    </w:p>
    <w:p w:rsidR="00A64538" w:rsidRPr="005A7B7B" w:rsidRDefault="00A64538" w:rsidP="00A64538">
      <w:pPr>
        <w:pStyle w:val="SROdrka1"/>
      </w:pPr>
      <w:r w:rsidRPr="005A7B7B">
        <w:t>udržení sociálního smíru efektivním nastavením sociálních mandatorních výdajů,</w:t>
      </w:r>
    </w:p>
    <w:p w:rsidR="00A64538" w:rsidRPr="005A7B7B" w:rsidRDefault="00A64538" w:rsidP="00A64538">
      <w:pPr>
        <w:pStyle w:val="SROdrka1"/>
      </w:pPr>
      <w:r w:rsidRPr="005A7B7B">
        <w:t xml:space="preserve">posun k vzdělanostní ekonomice - posílení výdajů na </w:t>
      </w:r>
      <w:r w:rsidR="00F84FC2">
        <w:t>výzkum, vývoj a inovace a výdajů</w:t>
      </w:r>
      <w:r w:rsidRPr="005A7B7B">
        <w:t xml:space="preserve"> </w:t>
      </w:r>
      <w:r w:rsidR="00F84FC2">
        <w:t>pro</w:t>
      </w:r>
      <w:r w:rsidRPr="005A7B7B">
        <w:t xml:space="preserve"> vysok</w:t>
      </w:r>
      <w:r w:rsidR="00F84FC2">
        <w:t>é</w:t>
      </w:r>
      <w:r w:rsidRPr="005A7B7B">
        <w:t xml:space="preserve"> škol</w:t>
      </w:r>
      <w:r w:rsidR="00F84FC2">
        <w:t>y</w:t>
      </w:r>
      <w:r w:rsidRPr="005A7B7B">
        <w:t>,</w:t>
      </w:r>
    </w:p>
    <w:p w:rsidR="00A64538" w:rsidRPr="005A7B7B" w:rsidRDefault="00A64538" w:rsidP="00A64538">
      <w:pPr>
        <w:pStyle w:val="SROdrka1"/>
      </w:pPr>
      <w:r w:rsidRPr="005A7B7B">
        <w:t>plnění závazku financo</w:t>
      </w:r>
      <w:r w:rsidR="006219CF">
        <w:t>vání obranných výdajů ve výši 2</w:t>
      </w:r>
      <w:r w:rsidRPr="005A7B7B">
        <w:t>%</w:t>
      </w:r>
      <w:r w:rsidR="006219CF">
        <w:t xml:space="preserve"> podílu</w:t>
      </w:r>
      <w:r w:rsidRPr="005A7B7B">
        <w:t xml:space="preserve"> na HDP.</w:t>
      </w:r>
    </w:p>
    <w:p w:rsidR="00A64538" w:rsidRPr="005A7B7B" w:rsidRDefault="00A64538" w:rsidP="00A64538">
      <w:pPr>
        <w:pStyle w:val="SRNadpis2"/>
        <w:numPr>
          <w:ilvl w:val="0"/>
          <w:numId w:val="0"/>
        </w:numPr>
        <w:ind w:left="709"/>
        <w:sectPr w:rsidR="00A64538" w:rsidRPr="005A7B7B" w:rsidSect="00187B06">
          <w:type w:val="continuous"/>
          <w:pgSz w:w="11906" w:h="16838" w:code="9"/>
          <w:pgMar w:top="1134" w:right="1134" w:bottom="1134" w:left="1134" w:header="709" w:footer="709" w:gutter="0"/>
          <w:cols w:num="2" w:space="397"/>
          <w:docGrid w:linePitch="360"/>
        </w:sectPr>
      </w:pPr>
    </w:p>
    <w:p w:rsidR="00A64538" w:rsidRPr="005A7B7B" w:rsidRDefault="00A64538" w:rsidP="00A64538"/>
    <w:p w:rsidR="00E36FA5" w:rsidRPr="005A7B7B" w:rsidRDefault="00E36FA5" w:rsidP="00E36FA5">
      <w:pPr>
        <w:sectPr w:rsidR="00E36FA5" w:rsidRPr="005A7B7B" w:rsidSect="00187B06">
          <w:type w:val="continuous"/>
          <w:pgSz w:w="11906" w:h="16838" w:code="9"/>
          <w:pgMar w:top="1134" w:right="1134" w:bottom="1134" w:left="1134" w:header="709" w:footer="709" w:gutter="0"/>
          <w:cols w:space="397"/>
          <w:docGrid w:linePitch="360"/>
        </w:sectPr>
      </w:pPr>
    </w:p>
    <w:p w:rsidR="00814F5D" w:rsidRPr="005A7B7B" w:rsidRDefault="00E83F81" w:rsidP="007866E6">
      <w:pPr>
        <w:pStyle w:val="SRNadpis1"/>
      </w:pPr>
      <w:bookmarkStart w:id="18" w:name="_Toc52369844"/>
      <w:bookmarkStart w:id="19" w:name="_Toc175913868"/>
      <w:r w:rsidRPr="005A7B7B">
        <w:lastRenderedPageBreak/>
        <w:t>Souhrnné údaje o příjmech, výdajích a saldu státního rozpočtu</w:t>
      </w:r>
      <w:r w:rsidR="00226213" w:rsidRPr="005A7B7B">
        <w:t xml:space="preserve"> </w:t>
      </w:r>
      <w:r w:rsidR="00796906" w:rsidRPr="005A7B7B">
        <w:t xml:space="preserve">na rok </w:t>
      </w:r>
      <w:r w:rsidR="00226213" w:rsidRPr="005A7B7B">
        <w:t>202</w:t>
      </w:r>
      <w:bookmarkEnd w:id="18"/>
      <w:r w:rsidR="00AF27EE" w:rsidRPr="005A7B7B">
        <w:t>5</w:t>
      </w:r>
      <w:bookmarkEnd w:id="19"/>
    </w:p>
    <w:p w:rsidR="00B36D7A" w:rsidRPr="005A7B7B" w:rsidRDefault="00B36D7A" w:rsidP="00B10007">
      <w:pPr>
        <w:sectPr w:rsidR="00B36D7A" w:rsidRPr="005A7B7B" w:rsidSect="00187B06">
          <w:headerReference w:type="default" r:id="rId21"/>
          <w:footerReference w:type="even" r:id="rId22"/>
          <w:footerReference w:type="default" r:id="rId23"/>
          <w:type w:val="continuous"/>
          <w:pgSz w:w="11906" w:h="16838" w:code="9"/>
          <w:pgMar w:top="1134" w:right="1134" w:bottom="1134" w:left="1134" w:header="709" w:footer="709" w:gutter="0"/>
          <w:cols w:space="397"/>
          <w:docGrid w:linePitch="360"/>
        </w:sectPr>
      </w:pPr>
    </w:p>
    <w:p w:rsidR="0031337A" w:rsidRPr="005A7B7B" w:rsidRDefault="0031337A" w:rsidP="00F17546">
      <w:pPr>
        <w:pStyle w:val="SRTextnomal"/>
      </w:pPr>
      <w:r w:rsidRPr="005A7B7B">
        <w:t>Základní charakteristiky státního rozpočtu na rok 202</w:t>
      </w:r>
      <w:r w:rsidR="00AF27EE" w:rsidRPr="005A7B7B">
        <w:t>5</w:t>
      </w:r>
      <w:r w:rsidRPr="005A7B7B">
        <w:t xml:space="preserve"> lze vyjádřit takto:</w:t>
      </w:r>
    </w:p>
    <w:p w:rsidR="0031337A" w:rsidRPr="005A7B7B" w:rsidRDefault="0031337A" w:rsidP="006A138C">
      <w:pPr>
        <w:pStyle w:val="SROdrka1"/>
      </w:pPr>
      <w:r w:rsidRPr="005A7B7B">
        <w:rPr>
          <w:b/>
        </w:rPr>
        <w:t xml:space="preserve">příjmy </w:t>
      </w:r>
      <w:r w:rsidRPr="005A7B7B">
        <w:t>státního rozpočtu v roce 202</w:t>
      </w:r>
      <w:r w:rsidR="00314DE1" w:rsidRPr="005A7B7B">
        <w:t>5</w:t>
      </w:r>
      <w:r w:rsidRPr="005A7B7B">
        <w:t xml:space="preserve"> dosáhnou výše</w:t>
      </w:r>
      <w:r w:rsidR="0021512D" w:rsidRPr="005A7B7B">
        <w:t xml:space="preserve"> </w:t>
      </w:r>
      <w:r w:rsidR="00432A5C" w:rsidRPr="005A7B7B">
        <w:rPr>
          <w:b/>
        </w:rPr>
        <w:t>2 086,1 </w:t>
      </w:r>
      <w:r w:rsidR="0021512D" w:rsidRPr="005A7B7B">
        <w:rPr>
          <w:b/>
        </w:rPr>
        <w:t>ml</w:t>
      </w:r>
      <w:r w:rsidR="006B7DBE" w:rsidRPr="005A7B7B">
        <w:rPr>
          <w:b/>
        </w:rPr>
        <w:t>d. Kč</w:t>
      </w:r>
      <w:r w:rsidR="006B7DBE" w:rsidRPr="005A7B7B">
        <w:t>, což je o</w:t>
      </w:r>
      <w:r w:rsidR="00314DE1" w:rsidRPr="005A7B7B">
        <w:t xml:space="preserve"> </w:t>
      </w:r>
      <w:r w:rsidR="00432A5C" w:rsidRPr="005A7B7B">
        <w:t>146,1 mld.</w:t>
      </w:r>
      <w:r w:rsidR="00F25894" w:rsidRPr="005A7B7B">
        <w:t> Kč více</w:t>
      </w:r>
      <w:r w:rsidRPr="005A7B7B">
        <w:t xml:space="preserve"> oproti schválenému rozpočtu na rok 20</w:t>
      </w:r>
      <w:r w:rsidR="00314DE1" w:rsidRPr="005A7B7B">
        <w:t>24</w:t>
      </w:r>
      <w:r w:rsidR="006B7DBE" w:rsidRPr="005A7B7B">
        <w:t>;</w:t>
      </w:r>
    </w:p>
    <w:p w:rsidR="0031337A" w:rsidRPr="005A7B7B" w:rsidRDefault="0031337A" w:rsidP="006A138C">
      <w:pPr>
        <w:pStyle w:val="SROdrka1"/>
      </w:pPr>
      <w:r w:rsidRPr="005A7B7B">
        <w:rPr>
          <w:b/>
        </w:rPr>
        <w:t>výdaje</w:t>
      </w:r>
      <w:r w:rsidRPr="005A7B7B">
        <w:t xml:space="preserve"> státního rozpočtu v roce 20</w:t>
      </w:r>
      <w:r w:rsidR="006B7DBE" w:rsidRPr="005A7B7B">
        <w:t>2</w:t>
      </w:r>
      <w:r w:rsidR="00314DE1" w:rsidRPr="005A7B7B">
        <w:t>5</w:t>
      </w:r>
      <w:r w:rsidRPr="005A7B7B">
        <w:t xml:space="preserve"> dosáhnou </w:t>
      </w:r>
      <w:r w:rsidR="00BF135F" w:rsidRPr="005A7B7B">
        <w:rPr>
          <w:b/>
        </w:rPr>
        <w:t>2</w:t>
      </w:r>
      <w:r w:rsidR="00F25894" w:rsidRPr="005A7B7B">
        <w:rPr>
          <w:b/>
        </w:rPr>
        <w:t> </w:t>
      </w:r>
      <w:r w:rsidR="003F4381" w:rsidRPr="005A7B7B">
        <w:rPr>
          <w:b/>
        </w:rPr>
        <w:t>316,1 </w:t>
      </w:r>
      <w:r w:rsidRPr="005A7B7B">
        <w:rPr>
          <w:b/>
        </w:rPr>
        <w:t>mld. Kč</w:t>
      </w:r>
      <w:r w:rsidRPr="005A7B7B">
        <w:t xml:space="preserve">, meziročně se </w:t>
      </w:r>
      <w:r w:rsidR="003F4381" w:rsidRPr="005A7B7B">
        <w:t>zvýší</w:t>
      </w:r>
      <w:r w:rsidR="00760F01" w:rsidRPr="005A7B7B">
        <w:t xml:space="preserve"> </w:t>
      </w:r>
      <w:r w:rsidRPr="005A7B7B">
        <w:t>o</w:t>
      </w:r>
      <w:r w:rsidR="00D23B52" w:rsidRPr="005A7B7B">
        <w:t xml:space="preserve"> </w:t>
      </w:r>
      <w:r w:rsidR="003F4381" w:rsidRPr="005A7B7B">
        <w:t>124,1</w:t>
      </w:r>
      <w:r w:rsidRPr="005A7B7B">
        <w:t> </w:t>
      </w:r>
      <w:r w:rsidR="006B7DBE" w:rsidRPr="005A7B7B">
        <w:t>mld. Kč;</w:t>
      </w:r>
    </w:p>
    <w:p w:rsidR="0056637B" w:rsidRPr="005A7B7B" w:rsidRDefault="00F0756B" w:rsidP="006A138C">
      <w:pPr>
        <w:pStyle w:val="SROdrka1"/>
      </w:pPr>
      <w:r w:rsidRPr="005A7B7B">
        <w:rPr>
          <w:b/>
        </w:rPr>
        <w:t>deficit</w:t>
      </w:r>
      <w:r w:rsidR="0031337A" w:rsidRPr="005A7B7B">
        <w:t xml:space="preserve"> státního rozpočtu v roce 20</w:t>
      </w:r>
      <w:r w:rsidR="001D22E5" w:rsidRPr="005A7B7B">
        <w:t>25</w:t>
      </w:r>
      <w:r w:rsidR="0031337A" w:rsidRPr="005A7B7B">
        <w:t xml:space="preserve"> dosáhne</w:t>
      </w:r>
      <w:r w:rsidR="0049168C" w:rsidRPr="005A7B7B">
        <w:t xml:space="preserve"> </w:t>
      </w:r>
      <w:r w:rsidRPr="005A7B7B">
        <w:noBreakHyphen/>
      </w:r>
      <w:r w:rsidR="001D22E5" w:rsidRPr="005A7B7B">
        <w:rPr>
          <w:b/>
        </w:rPr>
        <w:t>230</w:t>
      </w:r>
      <w:r w:rsidR="0062112F" w:rsidRPr="005A7B7B">
        <w:rPr>
          <w:b/>
        </w:rPr>
        <w:t> </w:t>
      </w:r>
      <w:r w:rsidRPr="005A7B7B">
        <w:rPr>
          <w:b/>
        </w:rPr>
        <w:t>mld. </w:t>
      </w:r>
      <w:r w:rsidR="0031337A" w:rsidRPr="005A7B7B">
        <w:rPr>
          <w:b/>
        </w:rPr>
        <w:t>Kč</w:t>
      </w:r>
      <w:r w:rsidR="00BF135F" w:rsidRPr="005A7B7B">
        <w:t xml:space="preserve">, což </w:t>
      </w:r>
      <w:r w:rsidR="00101862" w:rsidRPr="005A7B7B">
        <w:t>z</w:t>
      </w:r>
      <w:r w:rsidR="001D22E5" w:rsidRPr="005A7B7B">
        <w:t>namená ve srovnání s rokem 2024</w:t>
      </w:r>
      <w:r w:rsidR="00BF135F" w:rsidRPr="005A7B7B">
        <w:t xml:space="preserve"> jeho </w:t>
      </w:r>
      <w:r w:rsidR="00101862" w:rsidRPr="005A7B7B">
        <w:t>snížení</w:t>
      </w:r>
      <w:r w:rsidR="00BF135F" w:rsidRPr="005A7B7B">
        <w:t xml:space="preserve"> o </w:t>
      </w:r>
      <w:r w:rsidR="001D22E5" w:rsidRPr="005A7B7B">
        <w:t>22</w:t>
      </w:r>
      <w:r w:rsidR="00BF135F" w:rsidRPr="005A7B7B">
        <w:t xml:space="preserve"> mld. Kč</w:t>
      </w:r>
      <w:r w:rsidR="00EE6945" w:rsidRPr="005A7B7B">
        <w:t>.</w:t>
      </w:r>
    </w:p>
    <w:p w:rsidR="00DF02D3" w:rsidRPr="005A7B7B" w:rsidRDefault="00DF02D3" w:rsidP="006A138C">
      <w:pPr>
        <w:pStyle w:val="SROdrka1"/>
        <w:sectPr w:rsidR="00DF02D3" w:rsidRPr="005A7B7B" w:rsidSect="00187B06">
          <w:type w:val="continuous"/>
          <w:pgSz w:w="11906" w:h="16838" w:code="9"/>
          <w:pgMar w:top="1134" w:right="1134" w:bottom="1134" w:left="1134" w:header="709" w:footer="709" w:gutter="0"/>
          <w:cols w:num="2" w:space="397"/>
          <w:docGrid w:linePitch="360"/>
        </w:sectPr>
      </w:pPr>
    </w:p>
    <w:p w:rsidR="00432A5C" w:rsidRPr="005A7B7B" w:rsidRDefault="00065D4E" w:rsidP="000D440D">
      <w:pPr>
        <w:pStyle w:val="SRTitulek1"/>
      </w:pPr>
      <w:bookmarkStart w:id="20" w:name="_Toc80263997"/>
      <w:bookmarkStart w:id="21" w:name="_Toc175913924"/>
      <w:r w:rsidRPr="005A7B7B">
        <w:t xml:space="preserve">Tabulka </w:t>
      </w:r>
      <w:fldSimple w:instr=" SEQ Tabulka \* ARABIC ">
        <w:r w:rsidR="0010122A">
          <w:rPr>
            <w:noProof/>
          </w:rPr>
          <w:t>2</w:t>
        </w:r>
      </w:fldSimple>
      <w:r w:rsidRPr="005A7B7B">
        <w:t xml:space="preserve"> Základní ukazate</w:t>
      </w:r>
      <w:r w:rsidR="003736A1" w:rsidRPr="005A7B7B">
        <w:t xml:space="preserve">le státního rozpočtu </w:t>
      </w:r>
      <w:r w:rsidRPr="005A7B7B">
        <w:t>(v mld. Kč)</w:t>
      </w:r>
      <w:bookmarkEnd w:id="20"/>
      <w:bookmarkEnd w:id="21"/>
    </w:p>
    <w:p w:rsidR="00432A5C" w:rsidRPr="005A7B7B" w:rsidRDefault="00375E48" w:rsidP="006227A2">
      <w:pPr>
        <w:pStyle w:val="SRTextnomal"/>
      </w:pPr>
      <w:r w:rsidRPr="005A7B7B">
        <w:rPr>
          <w:noProof/>
        </w:rPr>
        <w:drawing>
          <wp:inline distT="0" distB="0" distL="0" distR="0">
            <wp:extent cx="5695950" cy="214312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5950" cy="2143125"/>
                    </a:xfrm>
                    <a:prstGeom prst="rect">
                      <a:avLst/>
                    </a:prstGeom>
                    <a:noFill/>
                    <a:ln>
                      <a:noFill/>
                    </a:ln>
                  </pic:spPr>
                </pic:pic>
              </a:graphicData>
            </a:graphic>
          </wp:inline>
        </w:drawing>
      </w:r>
    </w:p>
    <w:p w:rsidR="00432A5C" w:rsidRPr="005A7B7B" w:rsidRDefault="00432A5C" w:rsidP="006227A2">
      <w:pPr>
        <w:pStyle w:val="SRTextnomal"/>
        <w:sectPr w:rsidR="00432A5C" w:rsidRPr="005A7B7B" w:rsidSect="00187B06">
          <w:type w:val="continuous"/>
          <w:pgSz w:w="11906" w:h="16838" w:code="9"/>
          <w:pgMar w:top="1134" w:right="1134" w:bottom="1134" w:left="1134" w:header="709" w:footer="709" w:gutter="0"/>
          <w:cols w:space="397"/>
          <w:docGrid w:linePitch="360"/>
        </w:sectPr>
      </w:pPr>
    </w:p>
    <w:p w:rsidR="008B65E6" w:rsidRDefault="008B65E6" w:rsidP="006227A2">
      <w:pPr>
        <w:pStyle w:val="SRTextnomal"/>
        <w:sectPr w:rsidR="008B65E6" w:rsidSect="00187B06">
          <w:type w:val="continuous"/>
          <w:pgSz w:w="11906" w:h="16838" w:code="9"/>
          <w:pgMar w:top="1134" w:right="1134" w:bottom="1134" w:left="1134" w:header="709" w:footer="709" w:gutter="0"/>
          <w:cols w:space="397"/>
          <w:docGrid w:linePitch="360"/>
        </w:sectPr>
      </w:pPr>
    </w:p>
    <w:p w:rsidR="00432A5C" w:rsidRPr="005A7B7B" w:rsidRDefault="0031337A" w:rsidP="000D440D">
      <w:pPr>
        <w:pStyle w:val="SRTitulek1"/>
        <w:rPr>
          <w:i/>
        </w:rPr>
      </w:pPr>
      <w:bookmarkStart w:id="22" w:name="_Toc175913955"/>
      <w:r w:rsidRPr="005A7B7B">
        <w:t xml:space="preserve">Graf </w:t>
      </w:r>
      <w:fldSimple w:instr=" SEQ Graf \* ARABIC ">
        <w:r w:rsidR="0010122A">
          <w:rPr>
            <w:noProof/>
          </w:rPr>
          <w:t>1</w:t>
        </w:r>
      </w:fldSimple>
      <w:r w:rsidRPr="005A7B7B">
        <w:t xml:space="preserve"> V</w:t>
      </w:r>
      <w:r w:rsidR="003736A1" w:rsidRPr="005A7B7B">
        <w:t>ývoj deficitu státního rozpočtu</w:t>
      </w:r>
      <w:r w:rsidRPr="005A7B7B">
        <w:t xml:space="preserve"> </w:t>
      </w:r>
      <w:r w:rsidR="00443DFD" w:rsidRPr="005A7B7B">
        <w:t>vč. EU/FM</w:t>
      </w:r>
      <w:r w:rsidR="00C70E61" w:rsidRPr="005A7B7B">
        <w:t xml:space="preserve"> a úč. oper. </w:t>
      </w:r>
      <w:r w:rsidR="00443DFD" w:rsidRPr="005A7B7B">
        <w:t xml:space="preserve">PRV </w:t>
      </w:r>
      <w:r w:rsidRPr="005A7B7B">
        <w:rPr>
          <w:i/>
        </w:rPr>
        <w:t>(v mld. Kč)</w:t>
      </w:r>
      <w:bookmarkEnd w:id="22"/>
    </w:p>
    <w:p w:rsidR="003566AC" w:rsidRPr="005A7B7B" w:rsidRDefault="00375E48" w:rsidP="006227A2">
      <w:pPr>
        <w:pStyle w:val="SRTextnomal"/>
      </w:pPr>
      <w:r w:rsidRPr="005A7B7B">
        <w:rPr>
          <w:noProof/>
        </w:rPr>
        <w:drawing>
          <wp:inline distT="0" distB="0" distL="0" distR="0">
            <wp:extent cx="5822315" cy="3150235"/>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22315" cy="3150235"/>
                    </a:xfrm>
                    <a:prstGeom prst="rect">
                      <a:avLst/>
                    </a:prstGeom>
                    <a:noFill/>
                  </pic:spPr>
                </pic:pic>
              </a:graphicData>
            </a:graphic>
          </wp:inline>
        </w:drawing>
      </w:r>
    </w:p>
    <w:p w:rsidR="00AF05DF" w:rsidRPr="005A7B7B" w:rsidRDefault="00AF05DF" w:rsidP="006227A2">
      <w:pPr>
        <w:pStyle w:val="SRTextnomal"/>
        <w:sectPr w:rsidR="00AF05DF" w:rsidRPr="005A7B7B" w:rsidSect="00187B06">
          <w:type w:val="continuous"/>
          <w:pgSz w:w="11906" w:h="16838" w:code="9"/>
          <w:pgMar w:top="1134" w:right="1134" w:bottom="1134" w:left="1134" w:header="709" w:footer="709" w:gutter="0"/>
          <w:cols w:space="397"/>
          <w:docGrid w:linePitch="360"/>
        </w:sectPr>
      </w:pPr>
    </w:p>
    <w:p w:rsidR="00603744" w:rsidRPr="005A7B7B" w:rsidRDefault="00AC6283" w:rsidP="00F17546">
      <w:pPr>
        <w:pStyle w:val="SRTextnomal"/>
      </w:pPr>
      <w:r w:rsidRPr="005A7B7B">
        <w:br w:type="page"/>
      </w:r>
      <w:r w:rsidR="00603744" w:rsidRPr="005A7B7B">
        <w:lastRenderedPageBreak/>
        <w:t>Vývoj základních parametrů státního rozpočtu bez EU a FM a bez účetních operací P</w:t>
      </w:r>
      <w:r w:rsidR="00164464" w:rsidRPr="005A7B7B">
        <w:t>RV</w:t>
      </w:r>
      <w:r w:rsidR="00603744" w:rsidRPr="005A7B7B">
        <w:t xml:space="preserve"> dokládá následující graf.</w:t>
      </w:r>
    </w:p>
    <w:p w:rsidR="00603744" w:rsidRPr="005A7B7B" w:rsidRDefault="00603744" w:rsidP="00C70E61">
      <w:pPr>
        <w:pStyle w:val="SRTitulek1"/>
      </w:pPr>
      <w:bookmarkStart w:id="23" w:name="_Toc175913956"/>
      <w:r w:rsidRPr="005A7B7B">
        <w:t xml:space="preserve">Graf </w:t>
      </w:r>
      <w:fldSimple w:instr=" SEQ Graf \* ARABIC ">
        <w:r w:rsidR="0010122A">
          <w:rPr>
            <w:noProof/>
          </w:rPr>
          <w:t>2</w:t>
        </w:r>
      </w:fldSimple>
      <w:r w:rsidRPr="005A7B7B">
        <w:t xml:space="preserve"> Vývoj základních para</w:t>
      </w:r>
      <w:r w:rsidR="00C70A9A" w:rsidRPr="005A7B7B">
        <w:t>metrů státního rozpočtu bez EU/</w:t>
      </w:r>
      <w:r w:rsidRPr="005A7B7B">
        <w:t>FM</w:t>
      </w:r>
      <w:r w:rsidR="00C70E61" w:rsidRPr="005A7B7B">
        <w:t xml:space="preserve"> a úč. oper. </w:t>
      </w:r>
      <w:r w:rsidR="00C70A9A" w:rsidRPr="005A7B7B">
        <w:t>PRV</w:t>
      </w:r>
      <w:r w:rsidRPr="005A7B7B">
        <w:t xml:space="preserve"> </w:t>
      </w:r>
      <w:r w:rsidRPr="005A7B7B">
        <w:rPr>
          <w:i/>
        </w:rPr>
        <w:t>(v mld. Kč)</w:t>
      </w:r>
      <w:bookmarkEnd w:id="23"/>
    </w:p>
    <w:p w:rsidR="00AF05DF" w:rsidRPr="005A7B7B" w:rsidRDefault="00AF05DF" w:rsidP="00C70E61">
      <w:pPr>
        <w:pStyle w:val="SRTextnomal"/>
        <w:keepNext/>
        <w:sectPr w:rsidR="00AF05DF" w:rsidRPr="005A7B7B" w:rsidSect="00187B06">
          <w:type w:val="continuous"/>
          <w:pgSz w:w="11906" w:h="16838" w:code="9"/>
          <w:pgMar w:top="1134" w:right="1134" w:bottom="1134" w:left="1134" w:header="709" w:footer="709" w:gutter="0"/>
          <w:cols w:space="397"/>
          <w:docGrid w:linePitch="360"/>
        </w:sectPr>
      </w:pPr>
    </w:p>
    <w:p w:rsidR="00103A41" w:rsidRPr="005A7B7B" w:rsidRDefault="00375E48" w:rsidP="006227A2">
      <w:pPr>
        <w:pStyle w:val="SRTextnomal"/>
      </w:pPr>
      <w:r w:rsidRPr="005A7B7B">
        <w:rPr>
          <w:noProof/>
        </w:rPr>
        <w:drawing>
          <wp:inline distT="0" distB="0" distL="0" distR="0">
            <wp:extent cx="5741035" cy="376872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1035" cy="3768725"/>
                    </a:xfrm>
                    <a:prstGeom prst="rect">
                      <a:avLst/>
                    </a:prstGeom>
                    <a:noFill/>
                  </pic:spPr>
                </pic:pic>
              </a:graphicData>
            </a:graphic>
          </wp:inline>
        </w:drawing>
      </w:r>
    </w:p>
    <w:p w:rsidR="00432A5C" w:rsidRPr="005A7B7B" w:rsidRDefault="00432A5C" w:rsidP="006227A2">
      <w:pPr>
        <w:pStyle w:val="SRTextnomal"/>
        <w:sectPr w:rsidR="00432A5C" w:rsidRPr="005A7B7B" w:rsidSect="00187B06">
          <w:type w:val="continuous"/>
          <w:pgSz w:w="11906" w:h="16838" w:code="9"/>
          <w:pgMar w:top="1134" w:right="1134" w:bottom="1134" w:left="1134" w:header="709" w:footer="709" w:gutter="0"/>
          <w:cols w:space="397"/>
          <w:docGrid w:linePitch="360"/>
        </w:sectPr>
      </w:pPr>
    </w:p>
    <w:p w:rsidR="008B65E6" w:rsidRDefault="008B65E6" w:rsidP="00F17546">
      <w:pPr>
        <w:pStyle w:val="SRTextnomal"/>
        <w:sectPr w:rsidR="008B65E6" w:rsidSect="00187B06">
          <w:type w:val="continuous"/>
          <w:pgSz w:w="11906" w:h="16838" w:code="9"/>
          <w:pgMar w:top="1134" w:right="1134" w:bottom="1134" w:left="1134" w:header="709" w:footer="709" w:gutter="0"/>
          <w:cols w:space="397"/>
          <w:docGrid w:linePitch="360"/>
        </w:sectPr>
      </w:pPr>
    </w:p>
    <w:p w:rsidR="00432A5C" w:rsidRPr="005A7B7B" w:rsidRDefault="00432A5C" w:rsidP="00F17546">
      <w:pPr>
        <w:pStyle w:val="SRTextnomal"/>
      </w:pPr>
    </w:p>
    <w:p w:rsidR="00A32A0E" w:rsidRPr="005A7B7B" w:rsidRDefault="00A32A0E" w:rsidP="00F17546">
      <w:pPr>
        <w:pStyle w:val="SRTextnomal"/>
      </w:pPr>
      <w:r w:rsidRPr="005A7B7B">
        <w:t>Základní charakteristiky státního rozpočtu podle rozpočtové skladby (druhové a odvětvové třídění)</w:t>
      </w:r>
      <w:r w:rsidR="00926AF9" w:rsidRPr="005A7B7B">
        <w:t xml:space="preserve"> </w:t>
      </w:r>
      <w:r w:rsidR="003B6D10" w:rsidRPr="005A7B7B">
        <w:t xml:space="preserve">jsou uvedeny </w:t>
      </w:r>
      <w:r w:rsidR="00BF2B4A" w:rsidRPr="005A7B7B">
        <w:t>v následujících tabulkách (</w:t>
      </w:r>
      <w:r w:rsidR="00BF2B4A" w:rsidRPr="005A7B7B">
        <w:fldChar w:fldCharType="begin"/>
      </w:r>
      <w:r w:rsidR="00BF2B4A" w:rsidRPr="005A7B7B">
        <w:instrText xml:space="preserve"> REF _Ref81296717 \h </w:instrText>
      </w:r>
      <w:r w:rsidR="00FB563C" w:rsidRPr="005A7B7B">
        <w:instrText xml:space="preserve"> \* MERGEFORMAT </w:instrText>
      </w:r>
      <w:r w:rsidR="00BF2B4A" w:rsidRPr="005A7B7B">
        <w:fldChar w:fldCharType="separate"/>
      </w:r>
      <w:r w:rsidR="0010122A" w:rsidRPr="005A7B7B">
        <w:t xml:space="preserve">Tabulka </w:t>
      </w:r>
      <w:r w:rsidR="0010122A">
        <w:rPr>
          <w:noProof/>
        </w:rPr>
        <w:t>3</w:t>
      </w:r>
      <w:r w:rsidR="00BF2B4A" w:rsidRPr="005A7B7B">
        <w:fldChar w:fldCharType="end"/>
      </w:r>
      <w:r w:rsidR="0056637B" w:rsidRPr="005A7B7B">
        <w:t xml:space="preserve"> a </w:t>
      </w:r>
      <w:r w:rsidR="00BF2B4A" w:rsidRPr="005A7B7B">
        <w:fldChar w:fldCharType="begin"/>
      </w:r>
      <w:r w:rsidR="00BF2B4A" w:rsidRPr="005A7B7B">
        <w:instrText xml:space="preserve"> REF _Ref81296728 \h </w:instrText>
      </w:r>
      <w:r w:rsidR="00FB563C" w:rsidRPr="005A7B7B">
        <w:instrText xml:space="preserve"> \* MERGEFORMAT </w:instrText>
      </w:r>
      <w:r w:rsidR="00BF2B4A" w:rsidRPr="005A7B7B">
        <w:fldChar w:fldCharType="separate"/>
      </w:r>
      <w:r w:rsidR="0010122A" w:rsidRPr="005A7B7B">
        <w:t xml:space="preserve">Tabulka </w:t>
      </w:r>
      <w:r w:rsidR="0010122A">
        <w:rPr>
          <w:noProof/>
        </w:rPr>
        <w:t>4</w:t>
      </w:r>
      <w:r w:rsidR="00BF2B4A" w:rsidRPr="005A7B7B">
        <w:fldChar w:fldCharType="end"/>
      </w:r>
      <w:r w:rsidR="00BF2B4A" w:rsidRPr="005A7B7B">
        <w:t>)</w:t>
      </w:r>
      <w:r w:rsidRPr="005A7B7B">
        <w:t>.</w:t>
      </w:r>
    </w:p>
    <w:p w:rsidR="00F83D22" w:rsidRPr="005A7B7B" w:rsidRDefault="00F83D22" w:rsidP="00F17546">
      <w:pPr>
        <w:pStyle w:val="SRTextnomal"/>
      </w:pPr>
    </w:p>
    <w:p w:rsidR="00F83D22" w:rsidRPr="005A7B7B" w:rsidRDefault="00F83D22" w:rsidP="00D45477">
      <w:pPr>
        <w:sectPr w:rsidR="00F83D22" w:rsidRPr="005A7B7B" w:rsidSect="00187B06">
          <w:type w:val="continuous"/>
          <w:pgSz w:w="11906" w:h="16838" w:code="9"/>
          <w:pgMar w:top="1134" w:right="1134" w:bottom="1134" w:left="1134" w:header="709" w:footer="709" w:gutter="0"/>
          <w:cols w:space="397"/>
          <w:docGrid w:linePitch="360"/>
        </w:sectPr>
      </w:pPr>
    </w:p>
    <w:p w:rsidR="00065D4E" w:rsidRPr="005A7B7B" w:rsidRDefault="00065D4E" w:rsidP="000D440D">
      <w:pPr>
        <w:pStyle w:val="SRTitulek1"/>
        <w:rPr>
          <w:i/>
        </w:rPr>
      </w:pPr>
      <w:bookmarkStart w:id="24" w:name="_Ref81296717"/>
      <w:bookmarkStart w:id="25" w:name="_Toc80263998"/>
      <w:bookmarkStart w:id="26" w:name="_Toc175913925"/>
      <w:r w:rsidRPr="005A7B7B">
        <w:lastRenderedPageBreak/>
        <w:t xml:space="preserve">Tabulka </w:t>
      </w:r>
      <w:fldSimple w:instr=" SEQ Tabulka \* ARABIC ">
        <w:r w:rsidR="0010122A">
          <w:rPr>
            <w:noProof/>
          </w:rPr>
          <w:t>3</w:t>
        </w:r>
      </w:fldSimple>
      <w:bookmarkEnd w:id="24"/>
      <w:r w:rsidRPr="005A7B7B">
        <w:t xml:space="preserve"> Zák</w:t>
      </w:r>
      <w:r w:rsidR="00F23532" w:rsidRPr="005A7B7B">
        <w:t>ladní bilance státního rozpočtu </w:t>
      </w:r>
      <w:r w:rsidR="00F23532" w:rsidRPr="005A7B7B">
        <w:noBreakHyphen/>
        <w:t xml:space="preserve"> druhové třídění </w:t>
      </w:r>
      <w:r w:rsidRPr="005A7B7B">
        <w:rPr>
          <w:i/>
        </w:rPr>
        <w:t>(v mld. Kč)</w:t>
      </w:r>
      <w:bookmarkEnd w:id="25"/>
      <w:bookmarkEnd w:id="26"/>
    </w:p>
    <w:p w:rsidR="003566AC" w:rsidRPr="005A7B7B" w:rsidRDefault="006037D3" w:rsidP="006227A2">
      <w:pPr>
        <w:pStyle w:val="SRTextnomal"/>
      </w:pPr>
      <w:r w:rsidRPr="006037D3">
        <w:rPr>
          <w:noProof/>
        </w:rPr>
        <w:drawing>
          <wp:inline distT="0" distB="0" distL="0" distR="0">
            <wp:extent cx="9251950" cy="5214543"/>
            <wp:effectExtent l="0" t="0" r="635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51950" cy="5214543"/>
                    </a:xfrm>
                    <a:prstGeom prst="rect">
                      <a:avLst/>
                    </a:prstGeom>
                    <a:noFill/>
                    <a:ln>
                      <a:noFill/>
                    </a:ln>
                  </pic:spPr>
                </pic:pic>
              </a:graphicData>
            </a:graphic>
          </wp:inline>
        </w:drawing>
      </w:r>
    </w:p>
    <w:p w:rsidR="00F83D22" w:rsidRPr="005A7B7B" w:rsidRDefault="00F83D22" w:rsidP="006227A2">
      <w:pPr>
        <w:pStyle w:val="SRTextnomal"/>
        <w:sectPr w:rsidR="00F83D22" w:rsidRPr="005A7B7B" w:rsidSect="00187B06">
          <w:footerReference w:type="default" r:id="rId28"/>
          <w:pgSz w:w="16838" w:h="11906" w:orient="landscape" w:code="9"/>
          <w:pgMar w:top="1134" w:right="1134" w:bottom="1134" w:left="1134" w:header="709" w:footer="709" w:gutter="0"/>
          <w:cols w:space="397"/>
          <w:docGrid w:linePitch="360"/>
        </w:sectPr>
      </w:pPr>
    </w:p>
    <w:p w:rsidR="00065D4E" w:rsidRPr="005A7B7B" w:rsidRDefault="00065D4E" w:rsidP="000D440D">
      <w:pPr>
        <w:pStyle w:val="SRTitulek1"/>
        <w:rPr>
          <w:i/>
        </w:rPr>
      </w:pPr>
      <w:bookmarkStart w:id="27" w:name="_Ref81296728"/>
      <w:bookmarkStart w:id="28" w:name="_Toc80263999"/>
      <w:bookmarkStart w:id="29" w:name="_Toc175913926"/>
      <w:r w:rsidRPr="005A7B7B">
        <w:lastRenderedPageBreak/>
        <w:t xml:space="preserve">Tabulka </w:t>
      </w:r>
      <w:fldSimple w:instr=" SEQ Tabulka \* ARABIC ">
        <w:r w:rsidR="0010122A">
          <w:rPr>
            <w:noProof/>
          </w:rPr>
          <w:t>4</w:t>
        </w:r>
      </w:fldSimple>
      <w:bookmarkEnd w:id="27"/>
      <w:r w:rsidRPr="005A7B7B">
        <w:t xml:space="preserve"> Odvětvové členění výdajů </w:t>
      </w:r>
      <w:r w:rsidRPr="005A7B7B">
        <w:rPr>
          <w:i/>
        </w:rPr>
        <w:t>(v mld. Kč)</w:t>
      </w:r>
      <w:bookmarkEnd w:id="28"/>
      <w:bookmarkEnd w:id="29"/>
    </w:p>
    <w:p w:rsidR="004962A9" w:rsidRPr="005A7B7B" w:rsidRDefault="00375E48" w:rsidP="006227A2">
      <w:pPr>
        <w:pStyle w:val="SRTextnomal"/>
      </w:pPr>
      <w:r w:rsidRPr="005A7B7B">
        <w:rPr>
          <w:noProof/>
        </w:rPr>
        <w:drawing>
          <wp:inline distT="0" distB="0" distL="0" distR="0">
            <wp:extent cx="9248775" cy="463867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48775" cy="4638675"/>
                    </a:xfrm>
                    <a:prstGeom prst="rect">
                      <a:avLst/>
                    </a:prstGeom>
                    <a:noFill/>
                    <a:ln>
                      <a:noFill/>
                    </a:ln>
                  </pic:spPr>
                </pic:pic>
              </a:graphicData>
            </a:graphic>
          </wp:inline>
        </w:drawing>
      </w:r>
    </w:p>
    <w:p w:rsidR="00360F92" w:rsidRPr="005A7B7B" w:rsidRDefault="00360F92" w:rsidP="006227A2">
      <w:pPr>
        <w:pStyle w:val="SRTextnomal"/>
        <w:sectPr w:rsidR="00360F92" w:rsidRPr="005A7B7B" w:rsidSect="00187B06">
          <w:footerReference w:type="default" r:id="rId30"/>
          <w:pgSz w:w="16838" w:h="11906" w:orient="landscape" w:code="9"/>
          <w:pgMar w:top="1134" w:right="1134" w:bottom="1134" w:left="1134" w:header="709" w:footer="709" w:gutter="0"/>
          <w:cols w:space="397"/>
          <w:docGrid w:linePitch="360"/>
        </w:sectPr>
      </w:pPr>
    </w:p>
    <w:p w:rsidR="00F13DBA" w:rsidRPr="005A7B7B" w:rsidRDefault="00C657F8" w:rsidP="007866E6">
      <w:pPr>
        <w:pStyle w:val="SRNadpis1"/>
      </w:pPr>
      <w:bookmarkStart w:id="30" w:name="_Toc52369845"/>
      <w:bookmarkStart w:id="31" w:name="_Toc238787318"/>
      <w:bookmarkStart w:id="32" w:name="_Toc239042732"/>
      <w:bookmarkStart w:id="33" w:name="_Toc239056361"/>
      <w:bookmarkStart w:id="34" w:name="_Toc239056399"/>
      <w:bookmarkStart w:id="35" w:name="_Toc525714687"/>
      <w:bookmarkStart w:id="36" w:name="_Toc175913869"/>
      <w:bookmarkEnd w:id="5"/>
      <w:bookmarkEnd w:id="6"/>
      <w:bookmarkEnd w:id="7"/>
      <w:bookmarkEnd w:id="8"/>
      <w:bookmarkEnd w:id="9"/>
      <w:bookmarkEnd w:id="10"/>
      <w:r w:rsidRPr="005A7B7B">
        <w:lastRenderedPageBreak/>
        <w:t>Detailní pohled na příjmy</w:t>
      </w:r>
      <w:bookmarkEnd w:id="30"/>
      <w:bookmarkEnd w:id="36"/>
    </w:p>
    <w:p w:rsidR="00EF13F5" w:rsidRPr="005A7B7B" w:rsidRDefault="00EF13F5" w:rsidP="00B10007">
      <w:pPr>
        <w:sectPr w:rsidR="00EF13F5" w:rsidRPr="005A7B7B" w:rsidSect="00187B06">
          <w:footerReference w:type="default" r:id="rId31"/>
          <w:pgSz w:w="11906" w:h="16838" w:code="9"/>
          <w:pgMar w:top="1134" w:right="1134" w:bottom="1134" w:left="1134" w:header="709" w:footer="709" w:gutter="0"/>
          <w:cols w:space="397"/>
          <w:docGrid w:linePitch="360"/>
        </w:sectPr>
      </w:pPr>
    </w:p>
    <w:p w:rsidR="00EF13F5" w:rsidRPr="005A7B7B" w:rsidRDefault="00EF13F5" w:rsidP="00F17546">
      <w:pPr>
        <w:pStyle w:val="SRTextnomal"/>
        <w:rPr>
          <w:b/>
        </w:rPr>
      </w:pPr>
      <w:r w:rsidRPr="005A7B7B">
        <w:t>Ve státním rozpočtu na rok 20</w:t>
      </w:r>
      <w:r w:rsidR="001D22E5" w:rsidRPr="005A7B7B">
        <w:t>25</w:t>
      </w:r>
      <w:r w:rsidRPr="005A7B7B">
        <w:t xml:space="preserve"> by celkové rozpočtov</w:t>
      </w:r>
      <w:r w:rsidR="00343653" w:rsidRPr="005A7B7B">
        <w:t xml:space="preserve">é příjmy měly dosáhnout objemu </w:t>
      </w:r>
      <w:r w:rsidR="003F4381" w:rsidRPr="005A7B7B">
        <w:rPr>
          <w:b/>
        </w:rPr>
        <w:t>2 086,1 </w:t>
      </w:r>
      <w:r w:rsidRPr="005A7B7B">
        <w:rPr>
          <w:b/>
        </w:rPr>
        <w:t>mld. Kč</w:t>
      </w:r>
      <w:r w:rsidRPr="005A7B7B">
        <w:t xml:space="preserve">. Při meziročním srovnání celkových příjmů státního rozpočtu očištěných o vliv příjmů z rozpočtu EU a FM </w:t>
      </w:r>
      <w:r w:rsidR="00512B63" w:rsidRPr="005A7B7B">
        <w:t xml:space="preserve">a účetních operací v rámci PRV </w:t>
      </w:r>
      <w:r w:rsidR="008D132A">
        <w:t>dochází k nárůstu příjmů o </w:t>
      </w:r>
      <w:r w:rsidR="003F4381" w:rsidRPr="005A7B7B">
        <w:t>120,4</w:t>
      </w:r>
      <w:r w:rsidR="00D21CAC" w:rsidRPr="005A7B7B">
        <w:t> </w:t>
      </w:r>
      <w:r w:rsidR="00166138" w:rsidRPr="005A7B7B">
        <w:t>m</w:t>
      </w:r>
      <w:r w:rsidRPr="005A7B7B">
        <w:t>ld. Kč</w:t>
      </w:r>
      <w:r w:rsidR="004A4EE1" w:rsidRPr="005A7B7B">
        <w:t xml:space="preserve"> tj. o </w:t>
      </w:r>
      <w:r w:rsidR="003F4381" w:rsidRPr="005A7B7B">
        <w:t>6,6</w:t>
      </w:r>
      <w:r w:rsidR="00520890" w:rsidRPr="005A7B7B">
        <w:t> %</w:t>
      </w:r>
      <w:r w:rsidRPr="005A7B7B">
        <w:t xml:space="preserve">. </w:t>
      </w:r>
    </w:p>
    <w:p w:rsidR="00343653" w:rsidRPr="005A7B7B" w:rsidRDefault="00DE13A0" w:rsidP="00F17546">
      <w:pPr>
        <w:pStyle w:val="SRTextnomal"/>
      </w:pPr>
      <w:r w:rsidRPr="005A7B7B">
        <w:t xml:space="preserve">Z celkové částky </w:t>
      </w:r>
      <w:r w:rsidR="003F4381" w:rsidRPr="005A7B7B">
        <w:t>154,3</w:t>
      </w:r>
      <w:r w:rsidRPr="005A7B7B">
        <w:t xml:space="preserve"> mld. Kč připa</w:t>
      </w:r>
      <w:r w:rsidR="003B0B1D" w:rsidRPr="005A7B7B">
        <w:t xml:space="preserve">dá na příjmy z rozpočtu EU </w:t>
      </w:r>
      <w:r w:rsidR="00A07DBD" w:rsidRPr="005A7B7B">
        <w:t>153,2</w:t>
      </w:r>
      <w:r w:rsidRPr="005A7B7B">
        <w:t xml:space="preserve"> m</w:t>
      </w:r>
      <w:r w:rsidR="00520890" w:rsidRPr="005A7B7B">
        <w:t>ld</w:t>
      </w:r>
      <w:r w:rsidRPr="005A7B7B">
        <w:t xml:space="preserve">. Kč </w:t>
      </w:r>
      <w:r w:rsidR="00C82D25" w:rsidRPr="005A7B7B">
        <w:t xml:space="preserve">(meziroční </w:t>
      </w:r>
      <w:r w:rsidR="001D22E5" w:rsidRPr="005A7B7B">
        <w:t>nárůst</w:t>
      </w:r>
      <w:r w:rsidR="00A07DBD" w:rsidRPr="005A7B7B">
        <w:t xml:space="preserve"> o 25,8</w:t>
      </w:r>
      <w:r w:rsidR="00520890" w:rsidRPr="005A7B7B">
        <w:t> mld. Kč)</w:t>
      </w:r>
      <w:r w:rsidR="0093023E" w:rsidRPr="005A7B7B">
        <w:t>,</w:t>
      </w:r>
      <w:r w:rsidRPr="005A7B7B">
        <w:t xml:space="preserve"> na příjmy z finančních mechanismů </w:t>
      </w:r>
      <w:r w:rsidR="00A07DBD" w:rsidRPr="005A7B7B">
        <w:t>372,1</w:t>
      </w:r>
      <w:r w:rsidR="00520890" w:rsidRPr="005A7B7B">
        <w:t> </w:t>
      </w:r>
      <w:r w:rsidRPr="005A7B7B">
        <w:t>m</w:t>
      </w:r>
      <w:r w:rsidR="003A1DD4" w:rsidRPr="005A7B7B">
        <w:t>il</w:t>
      </w:r>
      <w:r w:rsidRPr="005A7B7B">
        <w:t>. Kč</w:t>
      </w:r>
      <w:r w:rsidR="00A07DBD" w:rsidRPr="005A7B7B">
        <w:t xml:space="preserve"> a</w:t>
      </w:r>
      <w:r w:rsidR="0093023E" w:rsidRPr="005A7B7B">
        <w:t xml:space="preserve"> dále je nutno zohlednit účetní operace v rámci Programu rozvoje venkova v celkové částce </w:t>
      </w:r>
      <w:r w:rsidR="00A07DBD" w:rsidRPr="005A7B7B">
        <w:t>0,7</w:t>
      </w:r>
      <w:r w:rsidR="0093023E" w:rsidRPr="005A7B7B">
        <w:t> mld. Kč</w:t>
      </w:r>
      <w:r w:rsidRPr="005A7B7B">
        <w:t>.</w:t>
      </w:r>
      <w:r w:rsidR="00520890" w:rsidRPr="005A7B7B">
        <w:t xml:space="preserve"> </w:t>
      </w:r>
    </w:p>
    <w:p w:rsidR="00EF13F5" w:rsidRPr="005A7B7B" w:rsidRDefault="00EF13F5" w:rsidP="00F17546">
      <w:pPr>
        <w:pStyle w:val="SRTextnomal"/>
        <w:sectPr w:rsidR="00EF13F5" w:rsidRPr="005A7B7B" w:rsidSect="00187B06">
          <w:type w:val="continuous"/>
          <w:pgSz w:w="11906" w:h="16838" w:code="9"/>
          <w:pgMar w:top="1134" w:right="1134" w:bottom="1134" w:left="1134" w:header="709" w:footer="709" w:gutter="0"/>
          <w:cols w:num="2" w:space="397"/>
          <w:docGrid w:linePitch="360"/>
        </w:sectPr>
      </w:pPr>
    </w:p>
    <w:p w:rsidR="00065D4E" w:rsidRPr="005A7B7B" w:rsidRDefault="00065D4E" w:rsidP="000D440D">
      <w:pPr>
        <w:pStyle w:val="SRTitulek1"/>
        <w:rPr>
          <w:i/>
        </w:rPr>
      </w:pPr>
      <w:bookmarkStart w:id="37" w:name="_Toc80264000"/>
      <w:bookmarkStart w:id="38" w:name="_Toc175913927"/>
      <w:r w:rsidRPr="005A7B7B">
        <w:t xml:space="preserve">Tabulka </w:t>
      </w:r>
      <w:fldSimple w:instr=" SEQ Tabulka \* ARABIC ">
        <w:r w:rsidR="0010122A">
          <w:rPr>
            <w:noProof/>
          </w:rPr>
          <w:t>5</w:t>
        </w:r>
      </w:fldSimple>
      <w:r w:rsidRPr="005A7B7B">
        <w:t xml:space="preserve"> Příjmy státního rozpočtu </w:t>
      </w:r>
      <w:r w:rsidRPr="005A7B7B">
        <w:rPr>
          <w:i/>
        </w:rPr>
        <w:t>(v mld. Kč)</w:t>
      </w:r>
      <w:bookmarkEnd w:id="37"/>
      <w:bookmarkEnd w:id="38"/>
    </w:p>
    <w:p w:rsidR="00EF13F5" w:rsidRPr="005A7B7B" w:rsidRDefault="00375E48" w:rsidP="006227A2">
      <w:pPr>
        <w:pStyle w:val="SRTextnomal"/>
      </w:pPr>
      <w:r w:rsidRPr="005A7B7B">
        <w:rPr>
          <w:noProof/>
        </w:rPr>
        <w:drawing>
          <wp:inline distT="0" distB="0" distL="0" distR="0">
            <wp:extent cx="6115050" cy="181927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rsidR="00AF05DF" w:rsidRPr="005A7B7B" w:rsidRDefault="00AF05DF" w:rsidP="006227A2">
      <w:pPr>
        <w:pStyle w:val="SRTextnomal"/>
        <w:rPr>
          <w:i/>
          <w:sz w:val="16"/>
          <w:szCs w:val="16"/>
        </w:rPr>
        <w:sectPr w:rsidR="00AF05DF" w:rsidRPr="005A7B7B" w:rsidSect="00187B06">
          <w:type w:val="continuous"/>
          <w:pgSz w:w="11906" w:h="16838" w:code="9"/>
          <w:pgMar w:top="1134" w:right="1134" w:bottom="1134" w:left="1134" w:header="709" w:footer="709" w:gutter="0"/>
          <w:cols w:space="397"/>
          <w:docGrid w:linePitch="360"/>
        </w:sectPr>
      </w:pPr>
    </w:p>
    <w:p w:rsidR="008B65E6" w:rsidRDefault="008B65E6" w:rsidP="006227A2">
      <w:pPr>
        <w:pStyle w:val="SRTextnomal"/>
        <w:sectPr w:rsidR="008B65E6" w:rsidSect="00187B06">
          <w:type w:val="continuous"/>
          <w:pgSz w:w="11906" w:h="16838" w:code="9"/>
          <w:pgMar w:top="1134" w:right="1134" w:bottom="1134" w:left="1134" w:header="709" w:footer="709" w:gutter="0"/>
          <w:cols w:space="397"/>
          <w:docGrid w:linePitch="360"/>
        </w:sectPr>
      </w:pPr>
    </w:p>
    <w:p w:rsidR="00EF13F5" w:rsidRPr="005A7B7B" w:rsidRDefault="00EF13F5" w:rsidP="000D440D">
      <w:pPr>
        <w:pStyle w:val="SRTitulek1"/>
        <w:rPr>
          <w:i/>
        </w:rPr>
      </w:pPr>
      <w:bookmarkStart w:id="39" w:name="_Toc175913957"/>
      <w:r w:rsidRPr="005A7B7B">
        <w:t xml:space="preserve">Graf </w:t>
      </w:r>
      <w:fldSimple w:instr=" SEQ Graf \* ARABIC ">
        <w:r w:rsidR="0010122A">
          <w:rPr>
            <w:noProof/>
          </w:rPr>
          <w:t>3</w:t>
        </w:r>
      </w:fldSimple>
      <w:r w:rsidRPr="005A7B7B">
        <w:t xml:space="preserve"> Struktura příjmů státního rozpočtu </w:t>
      </w:r>
      <w:r w:rsidRPr="005A7B7B">
        <w:rPr>
          <w:i/>
        </w:rPr>
        <w:t>(v mld. Kč)</w:t>
      </w:r>
      <w:bookmarkEnd w:id="39"/>
    </w:p>
    <w:p w:rsidR="003275DF" w:rsidRPr="005A7B7B" w:rsidRDefault="00375E48" w:rsidP="006227A2">
      <w:pPr>
        <w:pStyle w:val="SRTextnomal"/>
      </w:pPr>
      <w:r w:rsidRPr="005A7B7B">
        <w:rPr>
          <w:noProof/>
        </w:rPr>
        <w:drawing>
          <wp:inline distT="0" distB="0" distL="0" distR="0">
            <wp:extent cx="5882005" cy="3736975"/>
            <wp:effectExtent l="0" t="0" r="0" b="0"/>
            <wp:docPr id="262"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82005" cy="3736975"/>
                    </a:xfrm>
                    <a:prstGeom prst="rect">
                      <a:avLst/>
                    </a:prstGeom>
                    <a:noFill/>
                  </pic:spPr>
                </pic:pic>
              </a:graphicData>
            </a:graphic>
          </wp:inline>
        </w:drawing>
      </w:r>
    </w:p>
    <w:p w:rsidR="00AF05DF" w:rsidRPr="005A7B7B" w:rsidRDefault="00AF05DF" w:rsidP="006227A2">
      <w:pPr>
        <w:pStyle w:val="SRTextnomal"/>
        <w:sectPr w:rsidR="00AF05DF" w:rsidRPr="005A7B7B" w:rsidSect="00187B06">
          <w:type w:val="continuous"/>
          <w:pgSz w:w="11906" w:h="16838" w:code="9"/>
          <w:pgMar w:top="1134" w:right="1134" w:bottom="1134" w:left="1134" w:header="709" w:footer="709" w:gutter="0"/>
          <w:cols w:space="397"/>
          <w:docGrid w:linePitch="360"/>
        </w:sectPr>
      </w:pPr>
    </w:p>
    <w:p w:rsidR="008B65E6" w:rsidRDefault="008B65E6" w:rsidP="00163836">
      <w:pPr>
        <w:pStyle w:val="SRTextnomal"/>
        <w:sectPr w:rsidR="008B65E6" w:rsidSect="00187B06">
          <w:type w:val="continuous"/>
          <w:pgSz w:w="11906" w:h="16838" w:code="9"/>
          <w:pgMar w:top="1134" w:right="1134" w:bottom="1134" w:left="1134" w:header="709" w:footer="709" w:gutter="0"/>
          <w:cols w:space="397"/>
          <w:docGrid w:linePitch="360"/>
        </w:sectPr>
      </w:pPr>
      <w:bookmarkStart w:id="40" w:name="_Toc52369846"/>
      <w:bookmarkEnd w:id="31"/>
      <w:bookmarkEnd w:id="32"/>
      <w:bookmarkEnd w:id="33"/>
      <w:bookmarkEnd w:id="34"/>
      <w:bookmarkEnd w:id="35"/>
    </w:p>
    <w:p w:rsidR="00163836" w:rsidRPr="005A7B7B" w:rsidRDefault="00163836" w:rsidP="00163836">
      <w:pPr>
        <w:pStyle w:val="SRTextnomal"/>
      </w:pPr>
    </w:p>
    <w:p w:rsidR="00163836" w:rsidRPr="005A7B7B" w:rsidRDefault="00163836" w:rsidP="00163836">
      <w:pPr>
        <w:pStyle w:val="SRTextnomal"/>
      </w:pPr>
    </w:p>
    <w:p w:rsidR="00922E0A" w:rsidRPr="005A7B7B" w:rsidRDefault="00922E0A" w:rsidP="00922E0A">
      <w:pPr>
        <w:pStyle w:val="SRTitulek1"/>
        <w:rPr>
          <w:i/>
        </w:rPr>
      </w:pPr>
      <w:bookmarkStart w:id="41" w:name="_Toc175913958"/>
      <w:r w:rsidRPr="005A7B7B">
        <w:lastRenderedPageBreak/>
        <w:t xml:space="preserve">Graf </w:t>
      </w:r>
      <w:fldSimple w:instr=" SEQ Graf \* ARABIC ">
        <w:r w:rsidR="0010122A">
          <w:rPr>
            <w:noProof/>
          </w:rPr>
          <w:t>4</w:t>
        </w:r>
      </w:fldSimple>
      <w:r w:rsidRPr="005A7B7B">
        <w:t xml:space="preserve"> Struktura příjmů státního rozpočtu v roce 2025 </w:t>
      </w:r>
      <w:r w:rsidRPr="005A7B7B">
        <w:rPr>
          <w:i/>
        </w:rPr>
        <w:t>(v mld. Kč)</w:t>
      </w:r>
      <w:bookmarkEnd w:id="41"/>
    </w:p>
    <w:p w:rsidR="000C7C53" w:rsidRPr="006227A2" w:rsidRDefault="00375E48" w:rsidP="006227A2">
      <w:pPr>
        <w:pStyle w:val="SRTextnomal"/>
      </w:pPr>
      <w:r w:rsidRPr="006227A2">
        <w:rPr>
          <w:noProof/>
        </w:rPr>
        <w:drawing>
          <wp:inline distT="0" distB="0" distL="0" distR="0">
            <wp:extent cx="5619750" cy="2790825"/>
            <wp:effectExtent l="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9750" cy="2790825"/>
                    </a:xfrm>
                    <a:prstGeom prst="rect">
                      <a:avLst/>
                    </a:prstGeom>
                    <a:noFill/>
                    <a:ln>
                      <a:noFill/>
                    </a:ln>
                  </pic:spPr>
                </pic:pic>
              </a:graphicData>
            </a:graphic>
          </wp:inline>
        </w:drawing>
      </w:r>
    </w:p>
    <w:p w:rsidR="000C7C53" w:rsidRPr="006227A2" w:rsidRDefault="000C7C53" w:rsidP="006227A2">
      <w:pPr>
        <w:pStyle w:val="SRTextnomal"/>
      </w:pPr>
    </w:p>
    <w:p w:rsidR="000C7C53" w:rsidRPr="006227A2" w:rsidRDefault="000C7C53" w:rsidP="006227A2">
      <w:pPr>
        <w:pStyle w:val="SRTextnomal"/>
        <w:sectPr w:rsidR="000C7C53" w:rsidRPr="006227A2" w:rsidSect="00187B06">
          <w:type w:val="continuous"/>
          <w:pgSz w:w="11906" w:h="16838" w:code="9"/>
          <w:pgMar w:top="1134" w:right="1134" w:bottom="1134" w:left="1134" w:header="709" w:footer="709" w:gutter="0"/>
          <w:cols w:space="397"/>
          <w:docGrid w:linePitch="360"/>
        </w:sectPr>
      </w:pPr>
    </w:p>
    <w:p w:rsidR="00510568" w:rsidRPr="005A7B7B" w:rsidRDefault="00C657F8" w:rsidP="00D06E57">
      <w:pPr>
        <w:pStyle w:val="SRNadpis2"/>
      </w:pPr>
      <w:bookmarkStart w:id="42" w:name="_Toc175913870"/>
      <w:r w:rsidRPr="005A7B7B">
        <w:t>Daňové příjmy</w:t>
      </w:r>
      <w:bookmarkEnd w:id="40"/>
      <w:bookmarkEnd w:id="42"/>
    </w:p>
    <w:p w:rsidR="003275DF" w:rsidRPr="005A7B7B" w:rsidRDefault="00185692" w:rsidP="00671AAF">
      <w:pPr>
        <w:pStyle w:val="SRNadpis3"/>
      </w:pPr>
      <w:bookmarkStart w:id="43" w:name="_Toc52369847"/>
      <w:bookmarkStart w:id="44" w:name="_Toc175913871"/>
      <w:r w:rsidRPr="005A7B7B">
        <w:t>Vývoj daňové kvóty</w:t>
      </w:r>
      <w:bookmarkEnd w:id="43"/>
      <w:bookmarkEnd w:id="44"/>
    </w:p>
    <w:p w:rsidR="003275DF" w:rsidRPr="005A7B7B" w:rsidRDefault="003275DF" w:rsidP="003275DF">
      <w:pPr>
        <w:sectPr w:rsidR="003275DF" w:rsidRPr="005A7B7B" w:rsidSect="00187B06">
          <w:type w:val="continuous"/>
          <w:pgSz w:w="11906" w:h="16838" w:code="9"/>
          <w:pgMar w:top="1134" w:right="1134" w:bottom="1134" w:left="1134" w:header="709" w:footer="709" w:gutter="0"/>
          <w:cols w:space="397"/>
          <w:docGrid w:linePitch="360"/>
        </w:sectPr>
      </w:pPr>
    </w:p>
    <w:p w:rsidR="00544CF7" w:rsidRPr="005A7B7B" w:rsidRDefault="001F7325" w:rsidP="00DC1542">
      <w:pPr>
        <w:pStyle w:val="SRTextnomal"/>
      </w:pPr>
      <w:r>
        <w:t>Daňová kvóta</w:t>
      </w:r>
      <w:r w:rsidR="009346BD" w:rsidRPr="005A7B7B">
        <w:t xml:space="preserve"> je vyjádřena poměrem příjmů z daní a z veřejných pojistných systémů vůči nominálnímu HDP. Definice daňových příjmů a HDP je opřena o metodiku Evropského systému národních a regionálních účtů z roku 2010. Jednotná metodika zajišťuje konzistenci mezi oběma ukazateli. Nedochází tedy ke zkreslení, jaké by například nastalo při poměřování hotovostního inkasa či omezení se pouze na příjmy státního rozpočtu. Příjmy proto zahrnují akruální daňové výnosy včetně povinných odvodů na sociální a zdravotní pojištění či dalších plateb, jakými jsou poplatky za obnovitelné zdroje energie, </w:t>
      </w:r>
      <w:r w:rsidR="009346BD" w:rsidRPr="005A7B7B">
        <w:t>emisní povolenky nebo poplatky za televizní a rozhlasové vysílání. Akruální princip zajišťuje, že příjmy jsou evidovány v době, kdy nastala příslušná ekonomická skutečnost, která zavdala příčinu zdanění, tedy nikoli v okamžiku, kdy jsou peněžní prostředky přijaty na účet (takto poměřuje příjem metodika hotovostních toků). Taková daňová kvóta je pak tedy nejenom nejkomplexnějším ukazatelem daňového zatížení, ale také mezinárodně srovnatelná a jednotně metodicky interpretovatelná.</w:t>
      </w:r>
    </w:p>
    <w:p w:rsidR="003275DF" w:rsidRPr="005A7B7B" w:rsidRDefault="003275DF" w:rsidP="003275DF">
      <w:pPr>
        <w:sectPr w:rsidR="003275DF" w:rsidRPr="005A7B7B" w:rsidSect="00187B06">
          <w:type w:val="continuous"/>
          <w:pgSz w:w="11906" w:h="16838" w:code="9"/>
          <w:pgMar w:top="1134" w:right="1134" w:bottom="1134" w:left="1134" w:header="709" w:footer="709" w:gutter="0"/>
          <w:cols w:num="2" w:space="397"/>
          <w:docGrid w:linePitch="360"/>
        </w:sectPr>
      </w:pPr>
    </w:p>
    <w:p w:rsidR="00065D4E" w:rsidRPr="005A7B7B" w:rsidRDefault="00065D4E" w:rsidP="000D440D">
      <w:pPr>
        <w:pStyle w:val="SRTitulek1"/>
      </w:pPr>
      <w:bookmarkStart w:id="45" w:name="_Toc80264001"/>
      <w:bookmarkStart w:id="46" w:name="_Toc175913928"/>
      <w:r w:rsidRPr="005A7B7B">
        <w:t xml:space="preserve">Tabulka </w:t>
      </w:r>
      <w:fldSimple w:instr=" SEQ Tabulka \* ARABIC ">
        <w:r w:rsidR="0010122A">
          <w:rPr>
            <w:noProof/>
          </w:rPr>
          <w:t>6</w:t>
        </w:r>
      </w:fldSimple>
      <w:r w:rsidRPr="005A7B7B">
        <w:t xml:space="preserve"> Vývoj daňové kvóty</w:t>
      </w:r>
      <w:bookmarkEnd w:id="45"/>
      <w:r w:rsidR="00BE157B" w:rsidRPr="005A7B7B">
        <w:t xml:space="preserve"> (v % HDP)</w:t>
      </w:r>
      <w:bookmarkEnd w:id="46"/>
    </w:p>
    <w:p w:rsidR="003275DF" w:rsidRPr="006227A2" w:rsidRDefault="00375E48" w:rsidP="006227A2">
      <w:pPr>
        <w:pStyle w:val="SRTextnomal"/>
      </w:pPr>
      <w:r w:rsidRPr="006227A2">
        <w:rPr>
          <w:noProof/>
        </w:rPr>
        <w:drawing>
          <wp:inline distT="0" distB="0" distL="0" distR="0">
            <wp:extent cx="4819650" cy="52387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19650" cy="523875"/>
                    </a:xfrm>
                    <a:prstGeom prst="rect">
                      <a:avLst/>
                    </a:prstGeom>
                    <a:noFill/>
                    <a:ln>
                      <a:noFill/>
                    </a:ln>
                  </pic:spPr>
                </pic:pic>
              </a:graphicData>
            </a:graphic>
          </wp:inline>
        </w:drawing>
      </w:r>
    </w:p>
    <w:p w:rsidR="00D009CA" w:rsidRPr="006227A2" w:rsidRDefault="00D009CA" w:rsidP="006227A2">
      <w:pPr>
        <w:pStyle w:val="SRTextnomal"/>
        <w:sectPr w:rsidR="00D009CA" w:rsidRPr="006227A2" w:rsidSect="00187B06">
          <w:type w:val="continuous"/>
          <w:pgSz w:w="11906" w:h="16838" w:code="9"/>
          <w:pgMar w:top="1134" w:right="1134" w:bottom="1134" w:left="1134" w:header="709" w:footer="709" w:gutter="0"/>
          <w:cols w:space="397"/>
          <w:docGrid w:linePitch="360"/>
        </w:sectPr>
      </w:pPr>
    </w:p>
    <w:p w:rsidR="003B513B" w:rsidRPr="005A7B7B" w:rsidRDefault="003B513B" w:rsidP="00F17546">
      <w:pPr>
        <w:pStyle w:val="SRTextnomal"/>
      </w:pPr>
    </w:p>
    <w:p w:rsidR="003B513B" w:rsidRPr="005A7B7B" w:rsidRDefault="003B513B" w:rsidP="00F17546">
      <w:pPr>
        <w:pStyle w:val="SRTextnomal"/>
        <w:sectPr w:rsidR="003B513B" w:rsidRPr="005A7B7B" w:rsidSect="00187B06">
          <w:type w:val="continuous"/>
          <w:pgSz w:w="11906" w:h="16838" w:code="9"/>
          <w:pgMar w:top="1134" w:right="1134" w:bottom="1134" w:left="1134" w:header="709" w:footer="709" w:gutter="0"/>
          <w:cols w:space="397"/>
          <w:docGrid w:linePitch="360"/>
        </w:sectPr>
      </w:pPr>
    </w:p>
    <w:p w:rsidR="00BA6FBD" w:rsidRDefault="009346BD" w:rsidP="00CE6616">
      <w:pPr>
        <w:pStyle w:val="SRTextnomal"/>
      </w:pPr>
      <w:r w:rsidRPr="005A7B7B">
        <w:t xml:space="preserve">V ČR byl vývoj daňového zatížení poměrně stabilní. Do roku 2018 kvóta mírně rostla, následně klesala. V letech 2020 a 2021 docházelo k řadě opatření více či méně vyvolaných pandemií a hospodářskou recesí, jako např. prominutí záloh na pojistných pro podnikatele, zrušení daně z nabytí nemovitých věcí nebo snížení daňového základu u daně z příjmů fyzických osob. Podobně </w:t>
      </w:r>
      <w:r w:rsidRPr="00CE6616">
        <w:t>tomu</w:t>
      </w:r>
      <w:r w:rsidRPr="005A7B7B">
        <w:t xml:space="preserve"> bylo v roce 2022, kdy daňová kvóta dále poklesla, mj. z důvodu odpouštění poplatku za obnovitelné zdroje energie pro domácnosti a firmy na konci roku, snížení některých spotřebních daní v reakci na vývoj inflace či dalšího růstu základní slevy na poplatníka. V roce 2023 by bez vlivu mimořádných příjmů v podobě daně z neočekávaných zisků a odvodu z nadměrných tržeb, </w:t>
      </w:r>
      <w:r w:rsidRPr="005A7B7B">
        <w:t>došlo k dalšímu poklesu míry daňového zatížení. Samotné mimořádné p</w:t>
      </w:r>
      <w:r w:rsidR="00CE6616">
        <w:t>říjmy pak pro rok 2023 jsou evidovány</w:t>
      </w:r>
      <w:r w:rsidRPr="005A7B7B">
        <w:t xml:space="preserve"> ve výši 0,7 % HDP. Jejich vliv by se ale měl v letech 2024 a 2025 snižovat. Od roku 2024 daňovou kvótu ovlivňují legislativní změny spojené se zákonem č. 349/2023 Sb., kterým se mění </w:t>
      </w:r>
      <w:r w:rsidRPr="00CE6616">
        <w:t>některé</w:t>
      </w:r>
      <w:r w:rsidRPr="005A7B7B">
        <w:t xml:space="preserve"> zákony v souvislosti s konsolidací veřejných rozpočtů, a to jak u daňových příjmů, tak odvodů na sociální pojištění.</w:t>
      </w:r>
    </w:p>
    <w:p w:rsidR="00061967" w:rsidRDefault="00061967" w:rsidP="00C251C9">
      <w:pPr>
        <w:pStyle w:val="SRTextnomal"/>
        <w:sectPr w:rsidR="00061967" w:rsidSect="00187B06">
          <w:type w:val="continuous"/>
          <w:pgSz w:w="11906" w:h="16838" w:code="9"/>
          <w:pgMar w:top="1134" w:right="1134" w:bottom="1134" w:left="1134" w:header="709" w:footer="709" w:gutter="0"/>
          <w:cols w:num="2" w:space="709"/>
          <w:docGrid w:linePitch="360"/>
        </w:sectPr>
      </w:pPr>
    </w:p>
    <w:p w:rsidR="00185692" w:rsidRPr="005A7B7B" w:rsidRDefault="00185692" w:rsidP="00671AAF">
      <w:pPr>
        <w:pStyle w:val="SRNadpis3"/>
      </w:pPr>
      <w:bookmarkStart w:id="47" w:name="_Toc52369848"/>
      <w:bookmarkStart w:id="48" w:name="_Toc175913872"/>
      <w:r w:rsidRPr="005A7B7B">
        <w:lastRenderedPageBreak/>
        <w:t>Celková predikce daňových příjmů</w:t>
      </w:r>
      <w:bookmarkEnd w:id="47"/>
      <w:bookmarkEnd w:id="48"/>
    </w:p>
    <w:p w:rsidR="00072E00" w:rsidRPr="005A7B7B" w:rsidRDefault="00072E00" w:rsidP="00072E00">
      <w:pPr>
        <w:sectPr w:rsidR="00072E00" w:rsidRPr="005A7B7B" w:rsidSect="00BA6FBD">
          <w:pgSz w:w="11906" w:h="16838" w:code="9"/>
          <w:pgMar w:top="1134" w:right="1134" w:bottom="1134" w:left="1134" w:header="709" w:footer="709" w:gutter="0"/>
          <w:cols w:space="397"/>
          <w:docGrid w:linePitch="360"/>
        </w:sectPr>
      </w:pPr>
    </w:p>
    <w:p w:rsidR="009164F9" w:rsidRPr="005A7B7B" w:rsidRDefault="009346BD" w:rsidP="00F17546">
      <w:pPr>
        <w:pStyle w:val="SRTextnomal"/>
      </w:pPr>
      <w:r w:rsidRPr="005A7B7B">
        <w:t>Aktuální odhady daňových příjmů jsou založeny na srpnové makroekonomické predikci M</w:t>
      </w:r>
      <w:r w:rsidR="001F7325">
        <w:t>inisterstva financí, dosavadním</w:t>
      </w:r>
      <w:r w:rsidRPr="005A7B7B">
        <w:t xml:space="preserve"> vývoji inkasa daňových příjmů, uskutečněných i plá</w:t>
      </w:r>
      <w:r w:rsidR="001F7325">
        <w:t>novaných legislativních změnách</w:t>
      </w:r>
      <w:r w:rsidRPr="005A7B7B">
        <w:t xml:space="preserve"> vyplývajících zejména z návrhu novely zákona o dani z přidané hodnoty. Jedná se o navrhované úpravy v oblasti nedobytných pohledávek, v oblasti finančních služeb, či zrušení institutu vracení daně osobám se </w:t>
      </w:r>
      <w:r w:rsidRPr="005A7B7B">
        <w:t xml:space="preserve">zdravotním postižením. V oblasti spotřebních daní se jedná o navrhovanou změnu zdaňovacího období v případě vracení spotřební daně z tzv. zelené nafty, kdy vybrané subjekty mohou zvolit půlroční zdaňovací období. Negativní dopad </w:t>
      </w:r>
      <w:r w:rsidR="00CE6616">
        <w:t xml:space="preserve">je </w:t>
      </w:r>
      <w:r w:rsidRPr="005A7B7B">
        <w:t>očekává</w:t>
      </w:r>
      <w:r w:rsidR="00CE6616">
        <w:t>n</w:t>
      </w:r>
      <w:r w:rsidRPr="005A7B7B">
        <w:t xml:space="preserve"> pouze v prvním roce zavedení, kdy bude předčasně vyplacena částka, která by bez přijetí tohoto opatření byla vyplácena až v roce následujícím.</w:t>
      </w:r>
    </w:p>
    <w:p w:rsidR="00072E00" w:rsidRPr="005A7B7B" w:rsidRDefault="00072E00" w:rsidP="00FD7344">
      <w:pPr>
        <w:sectPr w:rsidR="00072E00" w:rsidRPr="005A7B7B" w:rsidSect="00187B06">
          <w:type w:val="continuous"/>
          <w:pgSz w:w="11906" w:h="16838" w:code="9"/>
          <w:pgMar w:top="1134" w:right="1134" w:bottom="1134" w:left="1134" w:header="709" w:footer="709" w:gutter="0"/>
          <w:cols w:num="2" w:space="397"/>
          <w:docGrid w:linePitch="360"/>
        </w:sectPr>
      </w:pPr>
    </w:p>
    <w:p w:rsidR="006E4339" w:rsidRPr="005A7B7B" w:rsidRDefault="006E4339" w:rsidP="000D440D">
      <w:pPr>
        <w:pStyle w:val="SRTitulek1"/>
        <w:rPr>
          <w:i/>
        </w:rPr>
      </w:pPr>
      <w:bookmarkStart w:id="49" w:name="_Toc80264002"/>
      <w:bookmarkStart w:id="50" w:name="_Toc175913929"/>
      <w:r w:rsidRPr="005A7B7B">
        <w:t xml:space="preserve">Tabulka </w:t>
      </w:r>
      <w:fldSimple w:instr=" SEQ Tabulka \* ARABIC ">
        <w:r w:rsidR="0010122A">
          <w:rPr>
            <w:noProof/>
          </w:rPr>
          <w:t>7</w:t>
        </w:r>
      </w:fldSimple>
      <w:r w:rsidRPr="005A7B7B">
        <w:t xml:space="preserve"> Daňové příjmy </w:t>
      </w:r>
      <w:r w:rsidRPr="005A7B7B">
        <w:rPr>
          <w:i/>
        </w:rPr>
        <w:t>(v mld. Kč)</w:t>
      </w:r>
      <w:bookmarkEnd w:id="49"/>
      <w:bookmarkEnd w:id="50"/>
    </w:p>
    <w:p w:rsidR="00065D4E" w:rsidRPr="006227A2" w:rsidRDefault="00375E48" w:rsidP="006227A2">
      <w:pPr>
        <w:pStyle w:val="SRTextnomal"/>
      </w:pPr>
      <w:r w:rsidRPr="006227A2">
        <w:rPr>
          <w:noProof/>
        </w:rPr>
        <w:drawing>
          <wp:inline distT="0" distB="0" distL="0" distR="0">
            <wp:extent cx="5819775" cy="362902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9775" cy="3629025"/>
                    </a:xfrm>
                    <a:prstGeom prst="rect">
                      <a:avLst/>
                    </a:prstGeom>
                    <a:noFill/>
                    <a:ln>
                      <a:noFill/>
                    </a:ln>
                  </pic:spPr>
                </pic:pic>
              </a:graphicData>
            </a:graphic>
          </wp:inline>
        </w:drawing>
      </w:r>
    </w:p>
    <w:p w:rsidR="00C96D84" w:rsidRPr="006227A2" w:rsidRDefault="00C96D84" w:rsidP="006227A2">
      <w:pPr>
        <w:pStyle w:val="SRTextnomal"/>
        <w:sectPr w:rsidR="00C96D84" w:rsidRPr="006227A2" w:rsidSect="00187B06">
          <w:type w:val="continuous"/>
          <w:pgSz w:w="11906" w:h="16838" w:code="9"/>
          <w:pgMar w:top="1134" w:right="1134" w:bottom="1134" w:left="1134" w:header="709" w:footer="709" w:gutter="0"/>
          <w:cols w:space="397"/>
          <w:docGrid w:linePitch="360"/>
        </w:sectPr>
      </w:pPr>
    </w:p>
    <w:p w:rsidR="00C96D84" w:rsidRPr="005A7B7B" w:rsidRDefault="00C96D84" w:rsidP="00D443E4">
      <w:pPr>
        <w:pStyle w:val="SRTextnomal"/>
      </w:pPr>
    </w:p>
    <w:p w:rsidR="00AF05DF" w:rsidRPr="005A7B7B" w:rsidRDefault="00AF05DF" w:rsidP="00B10007">
      <w:pPr>
        <w:sectPr w:rsidR="00AF05DF" w:rsidRPr="005A7B7B" w:rsidSect="00187B06">
          <w:type w:val="continuous"/>
          <w:pgSz w:w="11906" w:h="16838" w:code="9"/>
          <w:pgMar w:top="1134" w:right="1134" w:bottom="1134" w:left="1134" w:header="709" w:footer="709" w:gutter="0"/>
          <w:cols w:space="397"/>
          <w:docGrid w:linePitch="360"/>
        </w:sectPr>
      </w:pPr>
    </w:p>
    <w:p w:rsidR="00806067" w:rsidRPr="005A7B7B" w:rsidRDefault="00806067" w:rsidP="00671AAF">
      <w:pPr>
        <w:pStyle w:val="SRNadpis3"/>
      </w:pPr>
      <w:bookmarkStart w:id="51" w:name="_Ref156291210"/>
      <w:bookmarkStart w:id="52" w:name="_Ref156291268"/>
      <w:bookmarkStart w:id="53" w:name="_Ref156291379"/>
      <w:bookmarkStart w:id="54" w:name="_Ref156291609"/>
      <w:bookmarkStart w:id="55" w:name="_Toc52369849"/>
      <w:bookmarkStart w:id="56" w:name="_Toc175913873"/>
      <w:r w:rsidRPr="005A7B7B">
        <w:t>Rozpočtové určení daní</w:t>
      </w:r>
      <w:bookmarkEnd w:id="51"/>
      <w:bookmarkEnd w:id="52"/>
      <w:bookmarkEnd w:id="53"/>
      <w:bookmarkEnd w:id="54"/>
      <w:bookmarkEnd w:id="56"/>
      <w:r w:rsidRPr="005A7B7B">
        <w:t xml:space="preserve"> </w:t>
      </w:r>
    </w:p>
    <w:p w:rsidR="00806067" w:rsidRPr="005A7B7B" w:rsidRDefault="00806067" w:rsidP="00806067">
      <w:pPr>
        <w:sectPr w:rsidR="00806067" w:rsidRPr="005A7B7B" w:rsidSect="00187B06">
          <w:type w:val="continuous"/>
          <w:pgSz w:w="11906" w:h="16838" w:code="9"/>
          <w:pgMar w:top="1134" w:right="1134" w:bottom="1134" w:left="1134" w:header="709" w:footer="709" w:gutter="0"/>
          <w:cols w:space="397"/>
          <w:docGrid w:linePitch="360"/>
        </w:sectPr>
      </w:pPr>
    </w:p>
    <w:p w:rsidR="00FA1045" w:rsidRPr="005A7B7B" w:rsidRDefault="009346BD" w:rsidP="00C30C45">
      <w:pPr>
        <w:pStyle w:val="SRTextnomal"/>
      </w:pPr>
      <w:r w:rsidRPr="005A7B7B">
        <w:t xml:space="preserve">S účinností od roku 2025 došlo v rámci zákona o konsolidaci veřejných financí ke změně rozpočtového určení daní tak, aby inkaso ze zvýšených sazeb sdílených daní bylo příjmem pouze státního rozpočtu (změna </w:t>
      </w:r>
      <w:r w:rsidRPr="005A7B7B">
        <w:t xml:space="preserve">podílu obcí </w:t>
      </w:r>
      <w:r w:rsidR="00373E91">
        <w:t xml:space="preserve">na 24,16 % a krajů na 9,45 %). </w:t>
      </w:r>
      <w:r w:rsidRPr="005A7B7B">
        <w:t>Vzhledem ke změně rozpočtového určení daní jsou odhady dopadů diskrečních opatření u sdílených daní uváděny na úrovni veřejných rozpočtů.</w:t>
      </w:r>
    </w:p>
    <w:p w:rsidR="00806067" w:rsidRPr="005A7B7B" w:rsidRDefault="00806067" w:rsidP="00806067">
      <w:pPr>
        <w:pStyle w:val="SRTextnomal"/>
        <w:sectPr w:rsidR="00806067" w:rsidRPr="005A7B7B" w:rsidSect="00187B06">
          <w:type w:val="continuous"/>
          <w:pgSz w:w="11906" w:h="16838" w:code="9"/>
          <w:pgMar w:top="1134" w:right="1134" w:bottom="1134" w:left="1134" w:header="709" w:footer="709" w:gutter="0"/>
          <w:cols w:num="2" w:space="397"/>
          <w:docGrid w:linePitch="360"/>
        </w:sectPr>
      </w:pPr>
    </w:p>
    <w:p w:rsidR="00900083" w:rsidRPr="005A7B7B" w:rsidRDefault="00185692" w:rsidP="00671AAF">
      <w:pPr>
        <w:pStyle w:val="SRNadpis3"/>
      </w:pPr>
      <w:bookmarkStart w:id="57" w:name="_Toc175913874"/>
      <w:r w:rsidRPr="005A7B7B">
        <w:t>Daň z přidané hodnoty</w:t>
      </w:r>
      <w:bookmarkEnd w:id="55"/>
      <w:bookmarkEnd w:id="57"/>
    </w:p>
    <w:p w:rsidR="00900083" w:rsidRPr="005A7B7B" w:rsidRDefault="00900083" w:rsidP="00671AAF">
      <w:pPr>
        <w:pStyle w:val="SRNadpis3"/>
        <w:sectPr w:rsidR="00900083" w:rsidRPr="005A7B7B" w:rsidSect="00187B06">
          <w:type w:val="continuous"/>
          <w:pgSz w:w="11906" w:h="16838" w:code="9"/>
          <w:pgMar w:top="1134" w:right="1134" w:bottom="1134" w:left="1134" w:header="709" w:footer="709" w:gutter="0"/>
          <w:cols w:space="397"/>
          <w:docGrid w:linePitch="360"/>
        </w:sectPr>
      </w:pPr>
    </w:p>
    <w:p w:rsidR="009346BD" w:rsidRPr="005A7B7B" w:rsidRDefault="009346BD" w:rsidP="00C30C45">
      <w:pPr>
        <w:pStyle w:val="SRTextnomal"/>
      </w:pPr>
      <w:r w:rsidRPr="005A7B7B">
        <w:t xml:space="preserve">V roce 2025 </w:t>
      </w:r>
      <w:r w:rsidR="009B5DA9">
        <w:t xml:space="preserve">se </w:t>
      </w:r>
      <w:r w:rsidRPr="005A7B7B">
        <w:t xml:space="preserve">odhaduje inkaso </w:t>
      </w:r>
      <w:r w:rsidRPr="005A7B7B">
        <w:rPr>
          <w:b/>
          <w:bCs/>
        </w:rPr>
        <w:t>daně z přidané hodnoty</w:t>
      </w:r>
      <w:r w:rsidRPr="005A7B7B">
        <w:t xml:space="preserve"> na úrovni státního rozpočtu ve výši </w:t>
      </w:r>
      <w:r w:rsidR="00C51365">
        <w:rPr>
          <w:b/>
          <w:bCs/>
        </w:rPr>
        <w:t>414 </w:t>
      </w:r>
      <w:r w:rsidRPr="005A7B7B">
        <w:rPr>
          <w:b/>
          <w:bCs/>
        </w:rPr>
        <w:t>mld. Kč</w:t>
      </w:r>
      <w:r w:rsidRPr="005A7B7B">
        <w:t xml:space="preserve">. Meziročně tak dojde k </w:t>
      </w:r>
      <w:r w:rsidR="00C51365">
        <w:t>nárůstu inkasa o 7,3 %, tj. o 27,2</w:t>
      </w:r>
      <w:r w:rsidRPr="005A7B7B">
        <w:t xml:space="preserve"> mld. Kč. Tento růst bude způsoben především zvýšením nominální spotřeby domácností. </w:t>
      </w:r>
    </w:p>
    <w:p w:rsidR="006A412D" w:rsidRPr="005A7B7B" w:rsidRDefault="009346BD" w:rsidP="00C30C45">
      <w:pPr>
        <w:pStyle w:val="SRTextnomal"/>
      </w:pPr>
      <w:r w:rsidRPr="005A7B7B">
        <w:t>Negativně budou na inkaso působit dopady změn účinných od ledna 2024, především redukce počtu sazeb daně z přidané hodnoty</w:t>
      </w:r>
      <w:r w:rsidR="00C07F86">
        <w:t xml:space="preserve"> na základní 21 % </w:t>
      </w:r>
      <w:r w:rsidR="00C07F86">
        <w:t>a sníženou 12 </w:t>
      </w:r>
      <w:r w:rsidRPr="005A7B7B">
        <w:t>% a přesunutí vybraného zboží a služeb ze snížené do základní</w:t>
      </w:r>
      <w:r w:rsidR="00C07F86">
        <w:t xml:space="preserve"> sazby daně z přidané hodnoty. </w:t>
      </w:r>
      <w:r w:rsidRPr="005A7B7B">
        <w:t>Negativní dopad na inkaso budou mít také změny vyplývající z novely zákona o dani z přidané hodnoty s plánovanou účinností od 1. 1. 2025, především úpravy v oblasti nedobytných pohledávek či u finančních služeb. Navrhovaná úprava bude mít negativní dopad na inkaso veřejných rozpočtů v odhadované výši cca 2,1 mld. Kč.</w:t>
      </w:r>
    </w:p>
    <w:p w:rsidR="00900083" w:rsidRPr="005A7B7B" w:rsidRDefault="00900083" w:rsidP="00900083">
      <w:pPr>
        <w:sectPr w:rsidR="00900083" w:rsidRPr="005A7B7B" w:rsidSect="00187B06">
          <w:type w:val="continuous"/>
          <w:pgSz w:w="11906" w:h="16838" w:code="9"/>
          <w:pgMar w:top="1134" w:right="1134" w:bottom="1134" w:left="1134" w:header="709" w:footer="709" w:gutter="0"/>
          <w:cols w:num="2" w:space="709"/>
          <w:docGrid w:linePitch="360"/>
        </w:sectPr>
      </w:pPr>
    </w:p>
    <w:p w:rsidR="00DF371F" w:rsidRPr="005A7B7B" w:rsidRDefault="000D015E" w:rsidP="00671AAF">
      <w:pPr>
        <w:pStyle w:val="SRNadpis3"/>
      </w:pPr>
      <w:bookmarkStart w:id="58" w:name="_Toc52369850"/>
      <w:bookmarkStart w:id="59" w:name="_Toc175913875"/>
      <w:r w:rsidRPr="005A7B7B">
        <w:lastRenderedPageBreak/>
        <w:t>Spotřební daně</w:t>
      </w:r>
      <w:bookmarkEnd w:id="58"/>
      <w:bookmarkEnd w:id="59"/>
    </w:p>
    <w:p w:rsidR="00343B52" w:rsidRPr="005A7B7B" w:rsidRDefault="00343B52" w:rsidP="00671AAF">
      <w:pPr>
        <w:pStyle w:val="SRNadpis3"/>
        <w:sectPr w:rsidR="00343B52" w:rsidRPr="005A7B7B" w:rsidSect="00187B06">
          <w:type w:val="continuous"/>
          <w:pgSz w:w="11906" w:h="16838" w:code="9"/>
          <w:pgMar w:top="1134" w:right="1134" w:bottom="1134" w:left="1134" w:header="709" w:footer="709" w:gutter="0"/>
          <w:cols w:space="397"/>
          <w:docGrid w:linePitch="360"/>
        </w:sectPr>
      </w:pPr>
    </w:p>
    <w:p w:rsidR="009346BD" w:rsidRPr="005A7B7B" w:rsidRDefault="009346BD" w:rsidP="00C30C45">
      <w:pPr>
        <w:pStyle w:val="SRTextnomal"/>
        <w:rPr>
          <w:rFonts w:eastAsia="Calibri"/>
          <w:lang w:eastAsia="en-US"/>
        </w:rPr>
      </w:pPr>
      <w:r w:rsidRPr="005A7B7B">
        <w:rPr>
          <w:rFonts w:eastAsia="Calibri"/>
          <w:lang w:eastAsia="en-US"/>
        </w:rPr>
        <w:t xml:space="preserve">Příjem státního rozpočtu v oblasti </w:t>
      </w:r>
      <w:r w:rsidRPr="005A7B7B">
        <w:rPr>
          <w:rFonts w:eastAsia="Calibri"/>
          <w:b/>
          <w:lang w:eastAsia="en-US"/>
        </w:rPr>
        <w:t>spotřební daně z minerálních olejů</w:t>
      </w:r>
      <w:r w:rsidRPr="005A7B7B">
        <w:rPr>
          <w:rFonts w:eastAsia="Calibri"/>
          <w:lang w:eastAsia="en-US"/>
        </w:rPr>
        <w:t xml:space="preserve"> je pro rok 2025 odhadován na </w:t>
      </w:r>
      <w:r w:rsidRPr="005A7B7B">
        <w:rPr>
          <w:rFonts w:eastAsia="Calibri"/>
          <w:b/>
          <w:bCs/>
          <w:lang w:eastAsia="en-US"/>
        </w:rPr>
        <w:t>více než 80 mld. Kč</w:t>
      </w:r>
      <w:r w:rsidRPr="005A7B7B">
        <w:rPr>
          <w:rFonts w:eastAsia="Calibri"/>
          <w:lang w:eastAsia="en-US"/>
        </w:rPr>
        <w:t>, což je odrazem predikovaného mírného nárůstu spotřeby pohonných hmot. Inkaso bude v rozpočtovém roce snižovat vratka daně z minerálních olejů osobám, které tyto oleje používají pro zemědělskou prvovýrobu nebo k hospodaření v lese („zelená nafta“). Toto opatření snižuje inkaso o 0,8 mld. Kč.</w:t>
      </w:r>
    </w:p>
    <w:p w:rsidR="009346BD" w:rsidRPr="005A7B7B" w:rsidRDefault="009346BD" w:rsidP="00C30C45">
      <w:pPr>
        <w:pStyle w:val="SRTextnomal"/>
        <w:rPr>
          <w:rFonts w:eastAsia="Calibri"/>
          <w:lang w:eastAsia="en-US"/>
        </w:rPr>
      </w:pPr>
      <w:r w:rsidRPr="005A7B7B">
        <w:rPr>
          <w:rFonts w:eastAsia="Calibri"/>
          <w:lang w:eastAsia="en-US"/>
        </w:rPr>
        <w:t xml:space="preserve">Predikovaná výše inkasa </w:t>
      </w:r>
      <w:r w:rsidRPr="005A7B7B">
        <w:rPr>
          <w:rFonts w:eastAsia="Calibri"/>
          <w:b/>
          <w:lang w:eastAsia="en-US"/>
        </w:rPr>
        <w:t>spotřebních daní z tabákových a souvisejících</w:t>
      </w:r>
      <w:r w:rsidRPr="005A7B7B">
        <w:rPr>
          <w:rFonts w:eastAsia="Calibri"/>
          <w:lang w:eastAsia="en-US"/>
        </w:rPr>
        <w:t xml:space="preserve"> </w:t>
      </w:r>
      <w:r w:rsidRPr="005A7B7B">
        <w:rPr>
          <w:rFonts w:eastAsia="Calibri"/>
          <w:b/>
          <w:lang w:eastAsia="en-US"/>
        </w:rPr>
        <w:t xml:space="preserve">výrobků </w:t>
      </w:r>
      <w:r w:rsidRPr="005A7B7B">
        <w:rPr>
          <w:rFonts w:eastAsia="Calibri"/>
          <w:lang w:eastAsia="en-US"/>
        </w:rPr>
        <w:t xml:space="preserve">(cigaret, doutníků, cigarillos, tabáku ke kouření, surového tabáku, zahřívaných tabákových výrobků, nikotinových sáčků a náplní do elektronických cigaret) by mohla v roce 2025 přesáhnout </w:t>
      </w:r>
      <w:r w:rsidRPr="005A7B7B">
        <w:rPr>
          <w:rFonts w:eastAsia="Calibri"/>
          <w:b/>
          <w:lang w:eastAsia="en-US"/>
        </w:rPr>
        <w:t>57</w:t>
      </w:r>
      <w:r w:rsidR="00556C08" w:rsidRPr="005A7B7B">
        <w:rPr>
          <w:rFonts w:eastAsia="Calibri"/>
          <w:b/>
          <w:lang w:eastAsia="en-US"/>
        </w:rPr>
        <w:t> </w:t>
      </w:r>
      <w:r w:rsidRPr="005A7B7B">
        <w:rPr>
          <w:rFonts w:eastAsia="Calibri"/>
          <w:b/>
          <w:lang w:eastAsia="en-US"/>
        </w:rPr>
        <w:t>mld. Kč</w:t>
      </w:r>
      <w:r w:rsidRPr="005A7B7B">
        <w:rPr>
          <w:rFonts w:eastAsia="Calibri"/>
          <w:lang w:eastAsia="en-US"/>
        </w:rPr>
        <w:t>. V rámci zákona o konsolidaci veřejných rozpočtů je rok 2025 v pořadí druhým ve víceletém plánu postupného navyšování sazeb spotřební daně z klasických tabákových výrobků (v průměru o 5 %) a sazeb u zahřívaných tabákových v</w:t>
      </w:r>
      <w:r w:rsidR="00C07F86">
        <w:rPr>
          <w:rFonts w:eastAsia="Calibri"/>
          <w:lang w:eastAsia="en-US"/>
        </w:rPr>
        <w:t xml:space="preserve">ýrobků (o 15 %). </w:t>
      </w:r>
      <w:r w:rsidRPr="005A7B7B">
        <w:rPr>
          <w:rFonts w:eastAsia="Calibri"/>
          <w:lang w:eastAsia="en-US"/>
        </w:rPr>
        <w:t xml:space="preserve">Sazby v roce 2024 nově zavedených spotřebních daní z náplní do elektronických cigaret a nikotinových sáčků se pro rok 2025 v souladu s výše zmíněným plánem zdvojnásobují. U tabákových a souvisejících výrobků lze </w:t>
      </w:r>
      <w:r w:rsidRPr="005A7B7B">
        <w:rPr>
          <w:rFonts w:eastAsia="Calibri"/>
          <w:lang w:eastAsia="en-US"/>
        </w:rPr>
        <w:t>pozorovat přesun mezi jednotlivými kategoriemi, a sice odklon od tradičních cigaret směrem k alternativám, zejména k elektronickým cigaretám. Naopak v minulosti významně rostoucí trh se zahřívanými tabákovými výrobky začíná klesat.</w:t>
      </w:r>
    </w:p>
    <w:p w:rsidR="009346BD" w:rsidRPr="005A7B7B" w:rsidRDefault="009346BD" w:rsidP="00C30C45">
      <w:pPr>
        <w:pStyle w:val="SRTextnomal"/>
        <w:rPr>
          <w:rFonts w:eastAsia="Calibri"/>
          <w:lang w:eastAsia="en-US"/>
        </w:rPr>
      </w:pPr>
      <w:r w:rsidRPr="005A7B7B">
        <w:rPr>
          <w:rFonts w:eastAsia="Calibri"/>
          <w:b/>
          <w:lang w:eastAsia="en-US"/>
        </w:rPr>
        <w:t>Inkaso spotřební daně z lihu</w:t>
      </w:r>
      <w:r w:rsidRPr="005A7B7B">
        <w:rPr>
          <w:rFonts w:eastAsia="Calibri"/>
          <w:lang w:eastAsia="en-US"/>
        </w:rPr>
        <w:t xml:space="preserve"> je predikováno ve výši přes </w:t>
      </w:r>
      <w:r w:rsidRPr="005A7B7B">
        <w:rPr>
          <w:rFonts w:eastAsia="Calibri"/>
          <w:b/>
          <w:lang w:eastAsia="en-US"/>
        </w:rPr>
        <w:t>10 mld. Kč</w:t>
      </w:r>
      <w:r w:rsidRPr="005A7B7B">
        <w:rPr>
          <w:rFonts w:eastAsia="Calibri"/>
          <w:lang w:eastAsia="en-US"/>
        </w:rPr>
        <w:t xml:space="preserve">. Pro rok 2025 je navržen v rámci druhého období tříletého plánu zvyšování sazeb spotřební daně z lihu růst sazeb opět o 10 %. V případě inkasa spotřební daně z piva a vína nejsou očekávány žádné změny legislativní, ani změny úrovně spotřeby. Inkaso </w:t>
      </w:r>
      <w:r w:rsidRPr="005A7B7B">
        <w:rPr>
          <w:rFonts w:eastAsia="Calibri"/>
          <w:b/>
          <w:lang w:eastAsia="en-US"/>
        </w:rPr>
        <w:t>spotřební daně z piva</w:t>
      </w:r>
      <w:r w:rsidRPr="005A7B7B">
        <w:rPr>
          <w:rFonts w:eastAsia="Calibri"/>
          <w:lang w:eastAsia="en-US"/>
        </w:rPr>
        <w:t xml:space="preserve"> by se mohlo blížit </w:t>
      </w:r>
      <w:r w:rsidRPr="005A7B7B">
        <w:rPr>
          <w:rFonts w:eastAsia="Calibri"/>
          <w:b/>
          <w:lang w:eastAsia="en-US"/>
        </w:rPr>
        <w:t>5 mld. Kč</w:t>
      </w:r>
      <w:r w:rsidRPr="005A7B7B">
        <w:rPr>
          <w:rFonts w:eastAsia="Calibri"/>
          <w:lang w:eastAsia="en-US"/>
        </w:rPr>
        <w:t xml:space="preserve"> a </w:t>
      </w:r>
      <w:r w:rsidR="00B478C2">
        <w:rPr>
          <w:rFonts w:eastAsia="Calibri"/>
          <w:b/>
          <w:lang w:eastAsia="en-US"/>
        </w:rPr>
        <w:t>vína 0,5 mld. </w:t>
      </w:r>
      <w:r w:rsidRPr="005A7B7B">
        <w:rPr>
          <w:rFonts w:eastAsia="Calibri"/>
          <w:b/>
          <w:lang w:eastAsia="en-US"/>
        </w:rPr>
        <w:t>Kč.</w:t>
      </w:r>
      <w:r w:rsidRPr="005A7B7B">
        <w:rPr>
          <w:rFonts w:eastAsia="Calibri"/>
          <w:lang w:eastAsia="en-US"/>
        </w:rPr>
        <w:t xml:space="preserve"> </w:t>
      </w:r>
    </w:p>
    <w:p w:rsidR="001F2F1B" w:rsidRPr="005A7B7B" w:rsidRDefault="009346BD" w:rsidP="00C30C45">
      <w:pPr>
        <w:pStyle w:val="SRTextnomal"/>
        <w:rPr>
          <w:rFonts w:eastAsia="Calibri"/>
          <w:lang w:eastAsia="en-US"/>
        </w:rPr>
      </w:pPr>
      <w:r w:rsidRPr="005A7B7B">
        <w:rPr>
          <w:rFonts w:eastAsia="Calibri"/>
          <w:lang w:eastAsia="en-US"/>
        </w:rPr>
        <w:t xml:space="preserve">Celkový příjem pro státní rozpočet z titulu </w:t>
      </w:r>
      <w:r w:rsidRPr="005A7B7B">
        <w:rPr>
          <w:rFonts w:eastAsia="Calibri"/>
          <w:b/>
          <w:lang w:eastAsia="en-US"/>
        </w:rPr>
        <w:t>energetických daní</w:t>
      </w:r>
      <w:r w:rsidRPr="005A7B7B">
        <w:rPr>
          <w:rFonts w:eastAsia="Calibri"/>
          <w:lang w:eastAsia="en-US"/>
        </w:rPr>
        <w:t xml:space="preserve"> je v roce 2025 očekáván na úrovni </w:t>
      </w:r>
      <w:r w:rsidRPr="005A7B7B">
        <w:rPr>
          <w:rFonts w:eastAsia="Calibri"/>
          <w:b/>
          <w:lang w:eastAsia="en-US"/>
        </w:rPr>
        <w:t>3,6 mld. Kč</w:t>
      </w:r>
      <w:r w:rsidR="00C07F86">
        <w:rPr>
          <w:rFonts w:eastAsia="Calibri"/>
          <w:lang w:eastAsia="en-US"/>
        </w:rPr>
        <w:t xml:space="preserve">. </w:t>
      </w:r>
      <w:r w:rsidRPr="005A7B7B">
        <w:rPr>
          <w:rFonts w:eastAsia="Calibri"/>
          <w:lang w:eastAsia="en-US"/>
        </w:rPr>
        <w:t xml:space="preserve">V predikci se promítá pokles spotřeby energií, který souvisí s trendem šetření energiemi a přechodem spotřebitelů na ekologičtější druhy paliv. Instalace solárních panelů a tepelných čerpadel i instalace nových technologií a spotřebičů s nižší spotřebou energií tak výrazně omezují celkovou spotřebu energií dodávaných klasickou distribuční sítí. </w:t>
      </w:r>
    </w:p>
    <w:p w:rsidR="00DF371F" w:rsidRPr="005A7B7B" w:rsidRDefault="00DF371F" w:rsidP="00F17546">
      <w:pPr>
        <w:pStyle w:val="SRTextnomal"/>
        <w:sectPr w:rsidR="00DF371F" w:rsidRPr="005A7B7B" w:rsidSect="00187B06">
          <w:type w:val="continuous"/>
          <w:pgSz w:w="11906" w:h="16838" w:code="9"/>
          <w:pgMar w:top="1134" w:right="1134" w:bottom="1134" w:left="1134" w:header="709" w:footer="709" w:gutter="0"/>
          <w:cols w:num="2" w:space="397"/>
          <w:docGrid w:linePitch="360"/>
        </w:sectPr>
      </w:pPr>
    </w:p>
    <w:p w:rsidR="00DF371F" w:rsidRPr="005A7B7B" w:rsidRDefault="000D015E" w:rsidP="00671AAF">
      <w:pPr>
        <w:pStyle w:val="SRNadpis3"/>
      </w:pPr>
      <w:bookmarkStart w:id="60" w:name="_Toc52369851"/>
      <w:bookmarkStart w:id="61" w:name="_Toc175913876"/>
      <w:r w:rsidRPr="005A7B7B">
        <w:t>Daň z příjmů právnických osob</w:t>
      </w:r>
      <w:bookmarkEnd w:id="60"/>
      <w:bookmarkEnd w:id="61"/>
    </w:p>
    <w:p w:rsidR="00DF371F" w:rsidRPr="005A7B7B" w:rsidRDefault="00DF371F" w:rsidP="00DF371F">
      <w:pPr>
        <w:sectPr w:rsidR="00DF371F" w:rsidRPr="005A7B7B" w:rsidSect="00187B06">
          <w:type w:val="continuous"/>
          <w:pgSz w:w="11906" w:h="16838" w:code="9"/>
          <w:pgMar w:top="1134" w:right="1134" w:bottom="1134" w:left="1134" w:header="709" w:footer="709" w:gutter="0"/>
          <w:cols w:space="397"/>
          <w:docGrid w:linePitch="360"/>
        </w:sectPr>
      </w:pPr>
    </w:p>
    <w:p w:rsidR="009346BD" w:rsidRPr="005A7B7B" w:rsidRDefault="009346BD" w:rsidP="00C30C45">
      <w:pPr>
        <w:pStyle w:val="SRTextnomal"/>
      </w:pPr>
      <w:r w:rsidRPr="005A7B7B">
        <w:t xml:space="preserve">Inkaso </w:t>
      </w:r>
      <w:r w:rsidRPr="005A7B7B">
        <w:rPr>
          <w:b/>
        </w:rPr>
        <w:t>daně z příjmů právnických osob</w:t>
      </w:r>
      <w:r w:rsidRPr="005A7B7B">
        <w:rPr>
          <w:bCs/>
        </w:rPr>
        <w:t xml:space="preserve"> včetně daně z neočekávaných </w:t>
      </w:r>
      <w:r w:rsidRPr="009B5DA9">
        <w:rPr>
          <w:bCs/>
        </w:rPr>
        <w:t xml:space="preserve">zisků </w:t>
      </w:r>
      <w:r w:rsidR="009B5DA9" w:rsidRPr="009B5DA9">
        <w:rPr>
          <w:bCs/>
        </w:rPr>
        <w:t>se</w:t>
      </w:r>
      <w:r w:rsidR="009B5DA9">
        <w:rPr>
          <w:b/>
          <w:bCs/>
        </w:rPr>
        <w:t xml:space="preserve"> </w:t>
      </w:r>
      <w:r w:rsidRPr="005A7B7B">
        <w:t>odhaduje</w:t>
      </w:r>
      <w:r w:rsidR="009B5DA9">
        <w:t xml:space="preserve"> </w:t>
      </w:r>
      <w:r w:rsidRPr="005A7B7B">
        <w:t xml:space="preserve">v roce 2025 na více než </w:t>
      </w:r>
      <w:r w:rsidRPr="005A7B7B">
        <w:rPr>
          <w:b/>
          <w:bCs/>
        </w:rPr>
        <w:t>244 mld. Kč</w:t>
      </w:r>
      <w:r w:rsidRPr="005A7B7B">
        <w:t xml:space="preserve"> pro státní rozpočet. Inkaso bude meziročně ovlivněno ekonomickým vývojem v roce 2024 a legislativními opatřeními přijatými v minulých letech. </w:t>
      </w:r>
    </w:p>
    <w:p w:rsidR="009346BD" w:rsidRPr="005A7B7B" w:rsidRDefault="009346BD" w:rsidP="00C30C45">
      <w:pPr>
        <w:pStyle w:val="SRTextnomal"/>
      </w:pPr>
      <w:r w:rsidRPr="005A7B7B">
        <w:t>Na inkasu se mimo jiné projeví pozitivní dopad zavedení tzv. mimořádných odpisů pro hmotný majetek zařazený v 1. a 2. odpisové skupině v odhadované výši 1,3 mld. Kč na úrovni veřejných rozpočtů a prodloužení jejich účinnosti pro zdaňovací období 2022 a 2023.</w:t>
      </w:r>
    </w:p>
    <w:p w:rsidR="009346BD" w:rsidRPr="005A7B7B" w:rsidRDefault="009346BD" w:rsidP="00C30C45">
      <w:pPr>
        <w:pStyle w:val="SRTextnomal"/>
      </w:pPr>
      <w:r w:rsidRPr="005A7B7B">
        <w:t xml:space="preserve">Mírně negativní dopad </w:t>
      </w:r>
      <w:r w:rsidR="009B5DA9">
        <w:t xml:space="preserve">je </w:t>
      </w:r>
      <w:r w:rsidRPr="005A7B7B">
        <w:t>očekává</w:t>
      </w:r>
      <w:r w:rsidR="009B5DA9">
        <w:t>n</w:t>
      </w:r>
      <w:r w:rsidRPr="005A7B7B">
        <w:t xml:space="preserve"> u přeřazení nabíjecích stanic pro elektromobily z 3. odpisové skupiny do 2. odpisové skupiny.</w:t>
      </w:r>
    </w:p>
    <w:p w:rsidR="00376A3B" w:rsidRPr="005A7B7B" w:rsidRDefault="009346BD" w:rsidP="00C30C45">
      <w:pPr>
        <w:pStyle w:val="SRTextnomal"/>
      </w:pPr>
      <w:r w:rsidRPr="005A7B7B">
        <w:t>Inkaso bude dále pozitivně ovlivněno změnami uvedenými v zákoně o konsolidaci veřejných rozpočtů, jedná se zejména o zvýšení sazby daně o 2 p. b., zdaněním nadlimitního stravování, omezení daňové výhodnosti při nákupu osobních automobilů pro podnikatelské účely, zrušení daňové uznatelnosti alkoholických nápojů pro reprezentační účely a dočasné zavedením mimořádných odpisů pro vozidla s výlučným palivem na elektrickou energii, a to s celkovým odhadovaným dopadem ve výši cca 31 mld. Kč na úrovni veřejných rozpočtů (včetně zohlednění změny výše záloh).</w:t>
      </w:r>
    </w:p>
    <w:p w:rsidR="00DF371F" w:rsidRPr="005A7B7B" w:rsidRDefault="00DF371F" w:rsidP="00F17546">
      <w:pPr>
        <w:pStyle w:val="SRTextnomal"/>
        <w:sectPr w:rsidR="00DF371F" w:rsidRPr="005A7B7B" w:rsidSect="00187B06">
          <w:type w:val="continuous"/>
          <w:pgSz w:w="11906" w:h="16838" w:code="9"/>
          <w:pgMar w:top="1134" w:right="1134" w:bottom="1134" w:left="1134" w:header="709" w:footer="709" w:gutter="0"/>
          <w:cols w:num="2" w:space="397"/>
          <w:docGrid w:linePitch="360"/>
        </w:sectPr>
      </w:pPr>
    </w:p>
    <w:p w:rsidR="00DF371F" w:rsidRPr="005A7B7B" w:rsidRDefault="000D015E" w:rsidP="00671AAF">
      <w:pPr>
        <w:pStyle w:val="SRNadpis3"/>
      </w:pPr>
      <w:bookmarkStart w:id="62" w:name="_Toc52369852"/>
      <w:bookmarkStart w:id="63" w:name="_Toc175913877"/>
      <w:r w:rsidRPr="005A7B7B">
        <w:t>Daň z příjmů fyzických osob</w:t>
      </w:r>
      <w:bookmarkEnd w:id="62"/>
      <w:bookmarkEnd w:id="63"/>
    </w:p>
    <w:p w:rsidR="00DF371F" w:rsidRPr="005A7B7B" w:rsidRDefault="00DF371F" w:rsidP="00DF371F">
      <w:pPr>
        <w:sectPr w:rsidR="00DF371F" w:rsidRPr="005A7B7B" w:rsidSect="00187B06">
          <w:type w:val="continuous"/>
          <w:pgSz w:w="11906" w:h="16838" w:code="9"/>
          <w:pgMar w:top="1134" w:right="1134" w:bottom="1134" w:left="1134" w:header="709" w:footer="709" w:gutter="0"/>
          <w:cols w:space="397"/>
          <w:docGrid w:linePitch="360"/>
        </w:sectPr>
      </w:pPr>
    </w:p>
    <w:p w:rsidR="009346BD" w:rsidRPr="005A7B7B" w:rsidRDefault="009346BD" w:rsidP="00C30C45">
      <w:pPr>
        <w:pStyle w:val="SRTextnomal"/>
      </w:pPr>
      <w:r w:rsidRPr="005A7B7B">
        <w:t xml:space="preserve">V roce 2025 je očekáváno celkové </w:t>
      </w:r>
      <w:r w:rsidRPr="005A7B7B">
        <w:rPr>
          <w:b/>
          <w:bCs/>
        </w:rPr>
        <w:t>inkaso daně z příjmů fyzických osob</w:t>
      </w:r>
      <w:r w:rsidRPr="005A7B7B">
        <w:t xml:space="preserve"> ve výši téměř </w:t>
      </w:r>
      <w:r w:rsidRPr="005A7B7B">
        <w:rPr>
          <w:b/>
          <w:bCs/>
        </w:rPr>
        <w:t>185 mld. Kč</w:t>
      </w:r>
      <w:r w:rsidRPr="005A7B7B">
        <w:t xml:space="preserve"> na úrovni státního rozpočtu. </w:t>
      </w:r>
    </w:p>
    <w:p w:rsidR="009346BD" w:rsidRPr="005A7B7B" w:rsidRDefault="009346BD" w:rsidP="00C30C45">
      <w:pPr>
        <w:pStyle w:val="SRTextnomal"/>
      </w:pPr>
      <w:r w:rsidRPr="005A7B7B">
        <w:t xml:space="preserve">Inkaso </w:t>
      </w:r>
      <w:r w:rsidRPr="005A7B7B">
        <w:rPr>
          <w:b/>
        </w:rPr>
        <w:t>daně z příjmů fyzických osob placené plátci</w:t>
      </w:r>
      <w:r w:rsidR="00C51365">
        <w:t xml:space="preserve"> je predikováno ve výši</w:t>
      </w:r>
      <w:r w:rsidRPr="005A7B7B">
        <w:t xml:space="preserve"> 145</w:t>
      </w:r>
      <w:r w:rsidR="00C51365">
        <w:t>,3</w:t>
      </w:r>
      <w:r w:rsidRPr="005A7B7B">
        <w:t xml:space="preserve"> mld. Kč na úrovni státního rozpočtu. Na inkaso budou pozitivně působit zejména dříve zavedená opatření v rámci konsolidačního balíčku, přičemž některá z nich se v inkasu projeví v roce 2025 poprvé. Jedná se o ta opatření, která jsou uplatnitelná až při ročním zúčtování daně, jako například omezení slevy na manžela/ku, zrušení slevy na dani za umístění dítěte či zrušení odpočtu za členské příspěvky zaplacené </w:t>
      </w:r>
      <w:r w:rsidRPr="005A7B7B">
        <w:t>odborovým organizacím, a to v celkové výši 2,3 mld. Kč na úrovni veřejných rozpočtů.</w:t>
      </w:r>
    </w:p>
    <w:p w:rsidR="009346BD" w:rsidRPr="005A7B7B" w:rsidRDefault="009346BD" w:rsidP="00C30C45">
      <w:pPr>
        <w:pStyle w:val="SRTextnomal"/>
      </w:pPr>
      <w:r w:rsidRPr="005A7B7B">
        <w:t>Dílčí negativní dopad na inkaso státního rozpočtu bude mít také již dříve schválená změna týkající se daňové podpory produktů spoření na stáří.</w:t>
      </w:r>
    </w:p>
    <w:p w:rsidR="009346BD" w:rsidRPr="005A7B7B" w:rsidRDefault="009346BD" w:rsidP="00C30C45">
      <w:pPr>
        <w:pStyle w:val="SRTextnomal"/>
      </w:pPr>
      <w:r w:rsidRPr="005A7B7B">
        <w:t xml:space="preserve">Inkaso </w:t>
      </w:r>
      <w:r w:rsidRPr="005A7B7B">
        <w:rPr>
          <w:b/>
        </w:rPr>
        <w:t>daně z příjmů fyzických osob placené poplatníky</w:t>
      </w:r>
      <w:r w:rsidRPr="005A7B7B">
        <w:t xml:space="preserve"> je na úrovni státního r</w:t>
      </w:r>
      <w:r w:rsidR="001F6317">
        <w:t>ozpočtu pro rok 2025 predikováno</w:t>
      </w:r>
      <w:r w:rsidRPr="005A7B7B">
        <w:t xml:space="preserve"> mezi 12 a 13 mld. Kč. Na inkasu se pozitivně projeví dříve zavedená opatření, zejména změny související s konsolidačním balíčkem jako je například omezení slevy na manžela/ku, zrušení slevy za umístění dítěte, posun prahu pro druhé pásmo progrese ze 4- na 3-</w:t>
      </w:r>
      <w:r w:rsidRPr="00C30C45">
        <w:t>násobek</w:t>
      </w:r>
      <w:r w:rsidRPr="005A7B7B">
        <w:t xml:space="preserve"> </w:t>
      </w:r>
      <w:r w:rsidRPr="005A7B7B">
        <w:lastRenderedPageBreak/>
        <w:t xml:space="preserve">průměrné mzdy, snížení limitu pro osvobození příjmů z tombol a hazardních her či zrušení slevy na studenta. Dopad těchto opatření je odhadován celkem na více než 3 mld. Kč na úrovni veřejných rozpočtů. </w:t>
      </w:r>
    </w:p>
    <w:p w:rsidR="009346BD" w:rsidRPr="005A7B7B" w:rsidRDefault="009346BD" w:rsidP="00C30C45">
      <w:pPr>
        <w:pStyle w:val="SRTextnomal"/>
      </w:pPr>
      <w:r w:rsidRPr="005A7B7B">
        <w:t>Mírně negativní dopad bude mít dříve schválená změna týkající se daňové podpory produktů spoření na stáří.</w:t>
      </w:r>
    </w:p>
    <w:p w:rsidR="00C30C45" w:rsidRDefault="009346BD" w:rsidP="00C30C45">
      <w:pPr>
        <w:pStyle w:val="SRTextnomal"/>
      </w:pPr>
      <w:r w:rsidRPr="005A7B7B">
        <w:t xml:space="preserve">Inkaso </w:t>
      </w:r>
      <w:r w:rsidRPr="005A7B7B">
        <w:rPr>
          <w:b/>
        </w:rPr>
        <w:t>daně z příjmů fyzických osob vybírané srážkou</w:t>
      </w:r>
      <w:r w:rsidRPr="005A7B7B">
        <w:t xml:space="preserve"> je pro rok 2025 predikováno na bezmála 27 mld. Kč na úrovni státního rozpočtu. Inkaso této daně bude ovlivněno opatřeními zavedenými v minulých letech.</w:t>
      </w:r>
    </w:p>
    <w:p w:rsidR="00C30C45" w:rsidRDefault="00C30C45" w:rsidP="00C30C45">
      <w:pPr>
        <w:pStyle w:val="SRTextnomal"/>
        <w:sectPr w:rsidR="00C30C45" w:rsidSect="001F6317">
          <w:type w:val="continuous"/>
          <w:pgSz w:w="11906" w:h="16838" w:code="9"/>
          <w:pgMar w:top="1134" w:right="1134" w:bottom="1134" w:left="1134" w:header="709" w:footer="709" w:gutter="0"/>
          <w:cols w:num="2" w:space="397"/>
          <w:docGrid w:linePitch="360"/>
        </w:sectPr>
      </w:pPr>
    </w:p>
    <w:p w:rsidR="0051686C" w:rsidRPr="005A7B7B" w:rsidRDefault="0051686C" w:rsidP="00671AAF">
      <w:pPr>
        <w:pStyle w:val="SRNadpis3"/>
      </w:pPr>
      <w:bookmarkStart w:id="64" w:name="_Toc52369854"/>
      <w:bookmarkStart w:id="65" w:name="_Toc175913878"/>
      <w:r w:rsidRPr="005A7B7B">
        <w:t>Silniční daň</w:t>
      </w:r>
      <w:bookmarkEnd w:id="65"/>
    </w:p>
    <w:p w:rsidR="0051686C" w:rsidRPr="005A7B7B" w:rsidRDefault="0051686C" w:rsidP="0051686C">
      <w:pPr>
        <w:sectPr w:rsidR="0051686C" w:rsidRPr="005A7B7B" w:rsidSect="00187B06">
          <w:type w:val="continuous"/>
          <w:pgSz w:w="11906" w:h="16838" w:code="9"/>
          <w:pgMar w:top="1134" w:right="1134" w:bottom="1134" w:left="1134" w:header="709" w:footer="709" w:gutter="0"/>
          <w:cols w:space="397"/>
          <w:docGrid w:linePitch="360"/>
        </w:sectPr>
      </w:pPr>
    </w:p>
    <w:p w:rsidR="007B0DFD" w:rsidRDefault="000A7105" w:rsidP="00C30C45">
      <w:pPr>
        <w:pStyle w:val="SRTextnomal"/>
      </w:pPr>
      <w:r w:rsidRPr="005A7B7B">
        <w:t xml:space="preserve">Inkaso </w:t>
      </w:r>
      <w:r w:rsidRPr="005A7B7B">
        <w:rPr>
          <w:b/>
        </w:rPr>
        <w:t>daně silniční</w:t>
      </w:r>
      <w:r w:rsidRPr="005A7B7B">
        <w:t xml:space="preserve"> je od roku 2024 </w:t>
      </w:r>
      <w:r w:rsidRPr="00C30C45">
        <w:t>příjmem</w:t>
      </w:r>
      <w:r w:rsidRPr="005A7B7B">
        <w:t xml:space="preserve"> státního rozpočtu. Již v minulosti byl základ daně výrazně redukován tak, aby odpovídal minimálním požadavkům </w:t>
      </w:r>
      <w:r w:rsidRPr="005A7B7B">
        <w:t>směrnice EU. Odhad inkasa pro rok 2025 je stanoven na 1,2 mld. Kč.</w:t>
      </w:r>
    </w:p>
    <w:p w:rsidR="00C51365" w:rsidRPr="005A7B7B" w:rsidRDefault="00C51365" w:rsidP="00C30C45">
      <w:pPr>
        <w:pStyle w:val="SRTextnomal"/>
      </w:pPr>
    </w:p>
    <w:p w:rsidR="0051686C" w:rsidRPr="005A7B7B" w:rsidRDefault="0051686C" w:rsidP="00671AAF">
      <w:pPr>
        <w:pStyle w:val="SRNadpis3"/>
        <w:sectPr w:rsidR="0051686C" w:rsidRPr="005A7B7B" w:rsidSect="001F6317">
          <w:type w:val="continuous"/>
          <w:pgSz w:w="11906" w:h="16838" w:code="9"/>
          <w:pgMar w:top="1134" w:right="1134" w:bottom="1134" w:left="1134" w:header="709" w:footer="709" w:gutter="0"/>
          <w:cols w:num="2" w:space="397"/>
          <w:docGrid w:linePitch="360"/>
        </w:sectPr>
      </w:pPr>
    </w:p>
    <w:p w:rsidR="007C2351" w:rsidRPr="005A7B7B" w:rsidRDefault="00AF5DA2" w:rsidP="00671AAF">
      <w:pPr>
        <w:pStyle w:val="SRNadpis3"/>
      </w:pPr>
      <w:bookmarkStart w:id="66" w:name="_Toc175913879"/>
      <w:r w:rsidRPr="005A7B7B">
        <w:t>Odvod z elektřiny ze slunečního záření</w:t>
      </w:r>
      <w:bookmarkEnd w:id="64"/>
      <w:bookmarkEnd w:id="66"/>
    </w:p>
    <w:p w:rsidR="007C2351" w:rsidRPr="005A7B7B" w:rsidRDefault="007C2351" w:rsidP="007C2351">
      <w:pPr>
        <w:sectPr w:rsidR="007C2351" w:rsidRPr="005A7B7B" w:rsidSect="00187B06">
          <w:type w:val="continuous"/>
          <w:pgSz w:w="11906" w:h="16838" w:code="9"/>
          <w:pgMar w:top="1134" w:right="1134" w:bottom="1134" w:left="1134" w:header="709" w:footer="709" w:gutter="0"/>
          <w:cols w:space="397"/>
          <w:docGrid w:linePitch="360"/>
        </w:sectPr>
      </w:pPr>
    </w:p>
    <w:p w:rsidR="007B0DFD" w:rsidRPr="005A7B7B" w:rsidRDefault="000A7105" w:rsidP="00C30C45">
      <w:pPr>
        <w:pStyle w:val="SRTextnomal"/>
      </w:pPr>
      <w:r w:rsidRPr="005A7B7B">
        <w:t xml:space="preserve">V roce 2025 je predikce výše odvodu z </w:t>
      </w:r>
      <w:r w:rsidRPr="005A7B7B">
        <w:rPr>
          <w:b/>
        </w:rPr>
        <w:t>elektřiny vyrobené ze slunečního záření</w:t>
      </w:r>
      <w:r w:rsidRPr="005A7B7B">
        <w:t xml:space="preserve"> na úrovni </w:t>
      </w:r>
      <w:r w:rsidRPr="005A7B7B">
        <w:rPr>
          <w:b/>
        </w:rPr>
        <w:t>4,1 mld. Kč</w:t>
      </w:r>
      <w:r w:rsidR="00AB3DC2">
        <w:t xml:space="preserve">. V roce 2025 </w:t>
      </w:r>
      <w:r w:rsidR="009B5DA9">
        <w:t xml:space="preserve">nejsou </w:t>
      </w:r>
      <w:r w:rsidRPr="005A7B7B">
        <w:t>očekává</w:t>
      </w:r>
      <w:r w:rsidR="009B5DA9">
        <w:t>ny</w:t>
      </w:r>
      <w:r w:rsidR="00AB3DC2">
        <w:t xml:space="preserve"> změny, které by</w:t>
      </w:r>
      <w:r w:rsidRPr="005A7B7B">
        <w:t xml:space="preserve"> významně ovlivnily výši inkasa.</w:t>
      </w:r>
    </w:p>
    <w:p w:rsidR="007B0025" w:rsidRPr="005A7B7B" w:rsidRDefault="007B0025" w:rsidP="00F17546">
      <w:pPr>
        <w:pStyle w:val="SRTextnomal"/>
        <w:sectPr w:rsidR="007B0025" w:rsidRPr="005A7B7B" w:rsidSect="001F6317">
          <w:type w:val="continuous"/>
          <w:pgSz w:w="11906" w:h="16838" w:code="9"/>
          <w:pgMar w:top="1134" w:right="1134" w:bottom="1134" w:left="1134" w:header="709" w:footer="709" w:gutter="0"/>
          <w:cols w:num="2" w:space="397"/>
          <w:docGrid w:linePitch="360"/>
        </w:sectPr>
      </w:pPr>
    </w:p>
    <w:p w:rsidR="00AF5DA2" w:rsidRPr="005A7B7B" w:rsidRDefault="00AF5DA2" w:rsidP="00671AAF">
      <w:pPr>
        <w:pStyle w:val="SRNadpis3"/>
      </w:pPr>
      <w:bookmarkStart w:id="67" w:name="_Toc52369855"/>
      <w:bookmarkStart w:id="68" w:name="_Toc175913880"/>
      <w:r w:rsidRPr="005A7B7B">
        <w:t>Daň z</w:t>
      </w:r>
      <w:r w:rsidR="007C2351" w:rsidRPr="005A7B7B">
        <w:t> </w:t>
      </w:r>
      <w:r w:rsidRPr="005A7B7B">
        <w:t>hazardu</w:t>
      </w:r>
      <w:bookmarkEnd w:id="67"/>
      <w:bookmarkEnd w:id="68"/>
    </w:p>
    <w:p w:rsidR="007C2351" w:rsidRPr="005A7B7B" w:rsidRDefault="007C2351" w:rsidP="000A7105">
      <w:pPr>
        <w:ind w:left="1843" w:hanging="1843"/>
        <w:sectPr w:rsidR="007C2351" w:rsidRPr="005A7B7B" w:rsidSect="00187B06">
          <w:type w:val="continuous"/>
          <w:pgSz w:w="11906" w:h="16838" w:code="9"/>
          <w:pgMar w:top="1134" w:right="1134" w:bottom="1134" w:left="1134" w:header="709" w:footer="709" w:gutter="0"/>
          <w:cols w:space="397"/>
          <w:docGrid w:linePitch="360"/>
        </w:sectPr>
      </w:pPr>
    </w:p>
    <w:p w:rsidR="000A7105" w:rsidRPr="005A7B7B" w:rsidRDefault="000A7105" w:rsidP="00C30C45">
      <w:pPr>
        <w:pStyle w:val="SRTextnomal"/>
      </w:pPr>
      <w:bookmarkStart w:id="69" w:name="_Toc52369857"/>
      <w:r w:rsidRPr="005A7B7B">
        <w:t>Pro rok 2025 je i</w:t>
      </w:r>
      <w:r w:rsidR="009B5DA9">
        <w:t>nkaso odhadováno na úrovni 15,6 </w:t>
      </w:r>
      <w:r w:rsidRPr="005A7B7B">
        <w:t xml:space="preserve">mld. Kč na úrovni státního rozpočtu. Inkaso této daně bude ovlivněno opatřeními zavedenými v minulých letech, zejména zvýšením druhé sazby daně z hazardních </w:t>
      </w:r>
      <w:r w:rsidRPr="005A7B7B">
        <w:t xml:space="preserve">her z 23 % na 30 %, změnou rozpočtového určení ve prospěch státního rozpočtu či zavedením a rozšířením registru fyzických osob vyloučených z účasti na hazardních hrách. </w:t>
      </w:r>
    </w:p>
    <w:p w:rsidR="000A7105" w:rsidRPr="005A7B7B" w:rsidRDefault="000A7105" w:rsidP="000A7105">
      <w:pPr>
        <w:pStyle w:val="SROdrka1"/>
        <w:sectPr w:rsidR="000A7105" w:rsidRPr="005A7B7B" w:rsidSect="00187B06">
          <w:type w:val="continuous"/>
          <w:pgSz w:w="11906" w:h="16838" w:code="9"/>
          <w:pgMar w:top="1134" w:right="1134" w:bottom="1134" w:left="1134" w:header="709" w:footer="709" w:gutter="0"/>
          <w:cols w:num="2" w:space="397"/>
          <w:docGrid w:linePitch="360"/>
        </w:sectPr>
      </w:pPr>
    </w:p>
    <w:p w:rsidR="000A7105" w:rsidRPr="005A7B7B" w:rsidRDefault="000A7105" w:rsidP="00671AAF">
      <w:pPr>
        <w:pStyle w:val="SRNadpis3"/>
      </w:pPr>
      <w:bookmarkStart w:id="70" w:name="_Toc175913881"/>
      <w:r w:rsidRPr="005A7B7B">
        <w:t>Dorovnávací daně</w:t>
      </w:r>
      <w:bookmarkEnd w:id="70"/>
    </w:p>
    <w:p w:rsidR="000A7105" w:rsidRPr="005A7B7B" w:rsidRDefault="000A7105" w:rsidP="00671AAF">
      <w:pPr>
        <w:pStyle w:val="SRNadpis3"/>
        <w:numPr>
          <w:ilvl w:val="0"/>
          <w:numId w:val="0"/>
        </w:numPr>
        <w:sectPr w:rsidR="000A7105" w:rsidRPr="005A7B7B" w:rsidSect="00187B06">
          <w:type w:val="continuous"/>
          <w:pgSz w:w="11906" w:h="16838" w:code="9"/>
          <w:pgMar w:top="1134" w:right="1134" w:bottom="1134" w:left="1134" w:header="709" w:footer="709" w:gutter="0"/>
          <w:cols w:space="397"/>
          <w:docGrid w:linePitch="360"/>
        </w:sectPr>
      </w:pPr>
    </w:p>
    <w:p w:rsidR="000A7105" w:rsidRPr="005A7B7B" w:rsidRDefault="000A7105" w:rsidP="00C30C45">
      <w:pPr>
        <w:pStyle w:val="SRTextnomal"/>
      </w:pPr>
      <w:r w:rsidRPr="005A7B7B">
        <w:t>Příjmy státního rozpočtu budou v roce 2025 také pozitivně ovlivněny dorovnávacími daněmi. Dne 31. prosince 2023 nabyl účinnosti zákon č. 416/2023 Sb., o dorovnávacích daních pro velké nadnárodní skupiny a velké vnitrostátní skupiny, prostřednictvím kterého byla do české legislativy transponována směrnice Rady EU 2022/2523 o</w:t>
      </w:r>
      <w:r w:rsidR="00C07F86">
        <w:t> </w:t>
      </w:r>
      <w:r w:rsidRPr="005A7B7B">
        <w:t xml:space="preserve">zajištění globální minimální úrovně zdanění nadnárodních skupin podniků a velkých vnitrostátních skupin v Unii. </w:t>
      </w:r>
    </w:p>
    <w:p w:rsidR="000A7105" w:rsidRPr="005A7B7B" w:rsidRDefault="000A7105" w:rsidP="00C30C45">
      <w:pPr>
        <w:pStyle w:val="SRTextnomal"/>
      </w:pPr>
      <w:r w:rsidRPr="005A7B7B">
        <w:t xml:space="preserve">Zákon se týká jen entit, které jsou členy nadnárodních a vnitrostátních skupin s roční prahovou hodnotou </w:t>
      </w:r>
      <w:r w:rsidRPr="005A7B7B">
        <w:t xml:space="preserve">konsolidovaných výnosů ve výši alespoň 750 mil. eur nejméně ve dvou ze čtyř výkazních období, předcházejících zdaňovacímu období. </w:t>
      </w:r>
    </w:p>
    <w:p w:rsidR="000A7105" w:rsidRPr="005A7B7B" w:rsidRDefault="000A7105" w:rsidP="00C30C45">
      <w:pPr>
        <w:pStyle w:val="SRTextnomal"/>
      </w:pPr>
      <w:r w:rsidRPr="005A7B7B">
        <w:t xml:space="preserve">Zavedení minimální daně povede k tomu, že zisky velkých společností budou zdaněny alespoň na minimální efektivní úrovni 15 %. Směrnice, resp. zákon nicméně stanovují výjimky ve vztahu k vybraným druhům entit. </w:t>
      </w:r>
    </w:p>
    <w:p w:rsidR="000A7105" w:rsidRPr="005A7B7B" w:rsidRDefault="000A7105" w:rsidP="00C30C45">
      <w:pPr>
        <w:pStyle w:val="SRTextnomal"/>
      </w:pPr>
      <w:r w:rsidRPr="005A7B7B">
        <w:t>Dorovnávací daně budou příjmem státního rozpočtu, bude se jednat o přímé daně a nebudou se řadit mezi daně z příjmů. Inkaso těchto daní v roce 2025 je očekáváno ve výši 1 mld. Kč.</w:t>
      </w:r>
    </w:p>
    <w:p w:rsidR="000A7105" w:rsidRPr="005A7B7B" w:rsidRDefault="000A7105" w:rsidP="000A7105">
      <w:pPr>
        <w:pStyle w:val="SRTextnomal"/>
        <w:sectPr w:rsidR="000A7105" w:rsidRPr="005A7B7B" w:rsidSect="001F6317">
          <w:type w:val="continuous"/>
          <w:pgSz w:w="11906" w:h="16838" w:code="9"/>
          <w:pgMar w:top="1134" w:right="1134" w:bottom="1134" w:left="1134" w:header="709" w:footer="709" w:gutter="0"/>
          <w:cols w:num="2" w:space="397"/>
          <w:docGrid w:linePitch="360"/>
        </w:sectPr>
      </w:pPr>
    </w:p>
    <w:p w:rsidR="007C2351" w:rsidRPr="005A7B7B" w:rsidRDefault="00AF5DA2" w:rsidP="00671AAF">
      <w:pPr>
        <w:pStyle w:val="SRNadpis3"/>
      </w:pPr>
      <w:bookmarkStart w:id="71" w:name="_Toc175913882"/>
      <w:r w:rsidRPr="005A7B7B">
        <w:t>Ostatní daně a poplatky</w:t>
      </w:r>
      <w:bookmarkEnd w:id="69"/>
      <w:bookmarkEnd w:id="71"/>
    </w:p>
    <w:p w:rsidR="007C2351" w:rsidRPr="005A7B7B" w:rsidRDefault="007C2351" w:rsidP="007C2351">
      <w:pPr>
        <w:sectPr w:rsidR="007C2351" w:rsidRPr="005A7B7B" w:rsidSect="00187B06">
          <w:type w:val="continuous"/>
          <w:pgSz w:w="11906" w:h="16838" w:code="9"/>
          <w:pgMar w:top="1134" w:right="1134" w:bottom="1134" w:left="1134" w:header="709" w:footer="709" w:gutter="0"/>
          <w:cols w:space="397"/>
          <w:docGrid w:linePitch="360"/>
        </w:sectPr>
      </w:pPr>
    </w:p>
    <w:p w:rsidR="008C46B0" w:rsidRPr="005A7B7B" w:rsidRDefault="008C46B0" w:rsidP="008C46B0">
      <w:pPr>
        <w:pStyle w:val="SRTextnomal"/>
      </w:pPr>
      <w:r w:rsidRPr="005A7B7B">
        <w:t>Odvod za odnětí půdy je rozpočtován ve výši 0,6 mld. Kč v roce 2025.</w:t>
      </w:r>
    </w:p>
    <w:p w:rsidR="008C46B0" w:rsidRPr="005A7B7B" w:rsidRDefault="008C46B0" w:rsidP="008C46B0">
      <w:pPr>
        <w:pStyle w:val="SRTextnomal"/>
      </w:pPr>
      <w:r w:rsidRPr="005A7B7B">
        <w:t xml:space="preserve">Ostatní daně a poplatky jsou rozpočtovány pro rok 2025 ve výši </w:t>
      </w:r>
      <w:r w:rsidR="00D0342D" w:rsidRPr="005A7B7B">
        <w:t>5</w:t>
      </w:r>
      <w:r w:rsidRPr="005A7B7B">
        <w:t xml:space="preserve">,9 mld. Kč. Jedná se zejména o příjmy z prodeje kolků, odvody nahrazující zaměstnávání občanů se změněnou pracovní schopností a příjmy ze správních poplatků. Součástí těchto příjmů jsou i poplatky na činnost správních úřadů (podseskupení položek rozpočtové skladby 137). Jedná se o poplatek na činnost Energetického regulačního úřadu podle novely energetického zákona a dále poplatky Státnímu úřadu pro jadernou bezpečnost (udržovací poplatek podle atomového zákona). </w:t>
      </w:r>
    </w:p>
    <w:p w:rsidR="00D443E4" w:rsidRDefault="008C46B0" w:rsidP="00614E4C">
      <w:pPr>
        <w:pStyle w:val="SRTextnomal"/>
      </w:pPr>
      <w:r w:rsidRPr="005A7B7B">
        <w:t>Součástí daňových příjmů jsou i poplatky za znečišťování životního prostředí (odvody na jaderný účet) a příjmy z úhrad za dobývání nerostů. Pro rok 2025 jsou rozpočtovány ve výši 2,</w:t>
      </w:r>
      <w:r w:rsidR="00D0342D" w:rsidRPr="005A7B7B">
        <w:t>3</w:t>
      </w:r>
      <w:r w:rsidRPr="005A7B7B">
        <w:t xml:space="preserve"> mld. Kč. Z toho úhrady z dobývacího prostoru a úhrady z vydobytých nerostů činí 0,4 mld. Kč ročně (týká se kapitol Ministerstva životního prostředí, Ministerstva průmyslu a obchodu a Českého báňského úřadu). Poplatky za uložení odpadů, které se týkají odvodů od původců radioaktivních odpadů na jaderný účet v kapitole Operace státních finančních aktiv, činí 1,7 mld. Kč v roce 2025.</w:t>
      </w:r>
    </w:p>
    <w:p w:rsidR="00C30C45" w:rsidRDefault="00C30C45" w:rsidP="00614E4C">
      <w:pPr>
        <w:pStyle w:val="SRTextnomal"/>
      </w:pPr>
    </w:p>
    <w:p w:rsidR="00C30C45" w:rsidRPr="005A7B7B" w:rsidRDefault="00C30C45" w:rsidP="00614E4C">
      <w:pPr>
        <w:pStyle w:val="SRTextnomal"/>
      </w:pPr>
    </w:p>
    <w:p w:rsidR="009C12DD" w:rsidRPr="005A7B7B" w:rsidRDefault="009C12DD" w:rsidP="007C2351">
      <w:pPr>
        <w:sectPr w:rsidR="009C12DD" w:rsidRPr="005A7B7B" w:rsidSect="00187B06">
          <w:type w:val="continuous"/>
          <w:pgSz w:w="11906" w:h="16838" w:code="9"/>
          <w:pgMar w:top="1134" w:right="1134" w:bottom="1134" w:left="1134" w:header="709" w:footer="709" w:gutter="0"/>
          <w:cols w:num="2" w:space="397"/>
          <w:docGrid w:linePitch="360"/>
        </w:sectPr>
      </w:pPr>
    </w:p>
    <w:p w:rsidR="00C5453A" w:rsidRPr="005A7B7B" w:rsidRDefault="00A754C0" w:rsidP="00671AAF">
      <w:pPr>
        <w:pStyle w:val="SRNadpis3"/>
      </w:pPr>
      <w:bookmarkStart w:id="72" w:name="_Toc52369858"/>
      <w:bookmarkStart w:id="73" w:name="_Toc175913883"/>
      <w:r w:rsidRPr="005A7B7B">
        <w:lastRenderedPageBreak/>
        <w:t>Daňové úlevy za rok</w:t>
      </w:r>
      <w:r w:rsidR="00C5453A" w:rsidRPr="005A7B7B">
        <w:t xml:space="preserve"> 20</w:t>
      </w:r>
      <w:bookmarkEnd w:id="72"/>
      <w:r w:rsidR="009D4083" w:rsidRPr="005A7B7B">
        <w:t>2</w:t>
      </w:r>
      <w:r w:rsidR="00BB14F2" w:rsidRPr="005A7B7B">
        <w:t>2</w:t>
      </w:r>
      <w:bookmarkEnd w:id="73"/>
    </w:p>
    <w:p w:rsidR="00C5453A" w:rsidRPr="005A7B7B" w:rsidRDefault="00C5453A" w:rsidP="00C5453A">
      <w:pPr>
        <w:rPr>
          <w:noProof/>
        </w:rPr>
        <w:sectPr w:rsidR="00C5453A" w:rsidRPr="005A7B7B" w:rsidSect="00187B06">
          <w:type w:val="continuous"/>
          <w:pgSz w:w="11906" w:h="16838" w:code="9"/>
          <w:pgMar w:top="1134" w:right="1134" w:bottom="1134" w:left="1134" w:header="709" w:footer="709" w:gutter="0"/>
          <w:cols w:space="397"/>
          <w:docGrid w:linePitch="360"/>
        </w:sectPr>
      </w:pPr>
    </w:p>
    <w:p w:rsidR="00252ABD" w:rsidRPr="005A7B7B" w:rsidRDefault="00C5453A" w:rsidP="00F17546">
      <w:pPr>
        <w:pStyle w:val="SRTextnomal"/>
        <w:rPr>
          <w:noProof/>
        </w:rPr>
      </w:pPr>
      <w:r w:rsidRPr="005A7B7B">
        <w:rPr>
          <w:noProof/>
        </w:rPr>
        <w:t xml:space="preserve">Kvantifikace daňových úlev v České republice za </w:t>
      </w:r>
      <w:r w:rsidR="00D94A48" w:rsidRPr="005A7B7B">
        <w:rPr>
          <w:noProof/>
        </w:rPr>
        <w:t>rok 202</w:t>
      </w:r>
      <w:r w:rsidR="00BB14F2" w:rsidRPr="005A7B7B">
        <w:rPr>
          <w:noProof/>
        </w:rPr>
        <w:t>2</w:t>
      </w:r>
      <w:r w:rsidRPr="005A7B7B">
        <w:rPr>
          <w:noProof/>
        </w:rPr>
        <w:t xml:space="preserve"> </w:t>
      </w:r>
      <w:r w:rsidR="00A23A07" w:rsidRPr="005A7B7B">
        <w:rPr>
          <w:noProof/>
        </w:rPr>
        <w:t>je</w:t>
      </w:r>
      <w:r w:rsidRPr="005A7B7B">
        <w:rPr>
          <w:noProof/>
        </w:rPr>
        <w:t xml:space="preserve"> uvedena v příloze č. </w:t>
      </w:r>
      <w:r w:rsidR="00A60F16" w:rsidRPr="005A7B7B">
        <w:rPr>
          <w:noProof/>
        </w:rPr>
        <w:t>3</w:t>
      </w:r>
      <w:r w:rsidRPr="005A7B7B">
        <w:rPr>
          <w:noProof/>
        </w:rPr>
        <w:t xml:space="preserve"> této zprávy.</w:t>
      </w:r>
    </w:p>
    <w:p w:rsidR="001A7BF0" w:rsidRPr="005A7B7B" w:rsidRDefault="001A7BF0" w:rsidP="00F17546">
      <w:pPr>
        <w:pStyle w:val="SRTextnomal"/>
        <w:rPr>
          <w:noProof/>
        </w:rPr>
        <w:sectPr w:rsidR="001A7BF0" w:rsidRPr="005A7B7B" w:rsidSect="00187B06">
          <w:type w:val="continuous"/>
          <w:pgSz w:w="11906" w:h="16838" w:code="9"/>
          <w:pgMar w:top="1134" w:right="1134" w:bottom="1134" w:left="1134" w:header="709" w:footer="709" w:gutter="0"/>
          <w:cols w:num="2" w:space="709"/>
          <w:docGrid w:linePitch="360"/>
        </w:sectPr>
      </w:pPr>
    </w:p>
    <w:p w:rsidR="00CF04A9" w:rsidRPr="005A7B7B" w:rsidRDefault="00CF04A9" w:rsidP="00D06E57">
      <w:pPr>
        <w:pStyle w:val="SRNadpis2"/>
      </w:pPr>
      <w:bookmarkStart w:id="74" w:name="_Toc52369859"/>
      <w:bookmarkStart w:id="75" w:name="_Toc175913884"/>
      <w:r w:rsidRPr="005A7B7B">
        <w:t>Příjmy z pojistného na sociální zabezpečení a příspěvku na státní politiku zaměstnanosti</w:t>
      </w:r>
      <w:bookmarkEnd w:id="74"/>
      <w:bookmarkEnd w:id="75"/>
    </w:p>
    <w:p w:rsidR="001761F3" w:rsidRPr="005A7B7B" w:rsidRDefault="001761F3" w:rsidP="001761F3">
      <w:pPr>
        <w:sectPr w:rsidR="001761F3" w:rsidRPr="005A7B7B" w:rsidSect="00187B06">
          <w:type w:val="continuous"/>
          <w:pgSz w:w="11906" w:h="16838" w:code="9"/>
          <w:pgMar w:top="1134" w:right="1134" w:bottom="1134" w:left="1134" w:header="709" w:footer="709" w:gutter="0"/>
          <w:cols w:space="397"/>
          <w:docGrid w:linePitch="360"/>
        </w:sectPr>
      </w:pPr>
    </w:p>
    <w:p w:rsidR="00AE5F7E" w:rsidRPr="005A7B7B" w:rsidRDefault="00AE5F7E" w:rsidP="00726CB4">
      <w:pPr>
        <w:pStyle w:val="SRTextnomal"/>
        <w:rPr>
          <w:color w:val="FF0000"/>
        </w:rPr>
      </w:pPr>
      <w:r w:rsidRPr="005A7B7B">
        <w:t>Rozpočet příjmů z pojistného na sociální zabezpečení a příspěvku na státní politiku zaměstnanosti (dále jen poj</w:t>
      </w:r>
      <w:r w:rsidR="00726CB4">
        <w:t xml:space="preserve">istné na sociální zabezpečení) </w:t>
      </w:r>
      <w:r w:rsidRPr="005A7B7B">
        <w:t xml:space="preserve">je </w:t>
      </w:r>
      <w:r w:rsidR="005229E6">
        <w:t xml:space="preserve">založen </w:t>
      </w:r>
      <w:r w:rsidRPr="005A7B7B">
        <w:t>na vývoj</w:t>
      </w:r>
      <w:r w:rsidR="005229E6">
        <w:t>i</w:t>
      </w:r>
      <w:r w:rsidRPr="005A7B7B">
        <w:t xml:space="preserve"> </w:t>
      </w:r>
      <w:r w:rsidR="005229E6">
        <w:t>očekávaného inkasa v roce 2024 a na aktualizované predikci</w:t>
      </w:r>
      <w:r w:rsidRPr="005A7B7B">
        <w:t xml:space="preserve"> makroekonomických ukazatelů </w:t>
      </w:r>
      <w:r w:rsidRPr="005A7B7B">
        <w:rPr>
          <w:color w:val="000000"/>
        </w:rPr>
        <w:t>ze srpna 2024</w:t>
      </w:r>
      <w:r w:rsidR="005229E6">
        <w:t>.</w:t>
      </w:r>
      <w:r w:rsidRPr="005A7B7B">
        <w:t xml:space="preserve"> </w:t>
      </w:r>
      <w:r w:rsidR="005229E6">
        <w:t>Opírá se zejména o dynamiku</w:t>
      </w:r>
      <w:r w:rsidRPr="005A7B7B">
        <w:t xml:space="preserve"> meziročního růstu objemu mezd a platů pro rok 2024  </w:t>
      </w:r>
      <w:r w:rsidRPr="005A7B7B">
        <w:rPr>
          <w:color w:val="000000"/>
        </w:rPr>
        <w:t xml:space="preserve">(7,1 %) </w:t>
      </w:r>
      <w:r w:rsidRPr="005A7B7B">
        <w:t xml:space="preserve">a rok 2025 </w:t>
      </w:r>
      <w:r w:rsidR="00726CB4">
        <w:rPr>
          <w:color w:val="000000"/>
        </w:rPr>
        <w:t>(6,4 </w:t>
      </w:r>
      <w:r w:rsidRPr="005A7B7B">
        <w:rPr>
          <w:color w:val="000000"/>
        </w:rPr>
        <w:t xml:space="preserve">%), </w:t>
      </w:r>
      <w:r w:rsidRPr="005A7B7B">
        <w:t xml:space="preserve">ve které se promítá úroveň zaměstnanosti a výše pracovních příjmů. </w:t>
      </w:r>
    </w:p>
    <w:p w:rsidR="00AE5F7E" w:rsidRPr="005A7B7B" w:rsidRDefault="00AE5F7E" w:rsidP="00726CB4">
      <w:pPr>
        <w:pStyle w:val="SRTextnomal"/>
        <w:rPr>
          <w:color w:val="000000"/>
        </w:rPr>
      </w:pPr>
      <w:r w:rsidRPr="005A7B7B">
        <w:t xml:space="preserve">Sazby povinného odvodu pojistného na sociální zabezpečení se pro rok 2025 nemění a činí 31,9 %, z toho zaměstnavatel z úhrnu vyměřovacích základů zaměstnanců odvádí 28 % na  důchodové pojištění (6,5 % za zaměstnance a 21,5 % za zaměstnavatele), 2,7 % na nemocenské pojištění (0,6 % za zaměstnance a 2,1 % za zaměstnavatele) a 1,2 % na </w:t>
      </w:r>
      <w:r w:rsidR="00C07F86">
        <w:t xml:space="preserve">státní politiku zaměstnanosti. </w:t>
      </w:r>
      <w:r w:rsidRPr="005A7B7B">
        <w:t xml:space="preserve">Osoby samostatně výdělečně činné povinně odvádí ze zákonem stanoveného vyměřovacího základu 29,2 % na důchodové pojištění a na státní politiku zaměstnanosti. Maximální roční základ pro odvod pojistného na sociální zabezpečení zůstává na úrovni 48 násobku průměrné měsíční mzdy. S ohledem na zákonnou úpravu správy pojistného jsou příjmy z pojistného na sociální </w:t>
      </w:r>
      <w:r w:rsidRPr="005A7B7B">
        <w:t xml:space="preserve">zabezpečení rozpočtovány v  kapitolách Ministerstva práce a sociálních věcí, Ministerstva obrany, Ministerstva vnitra, </w:t>
      </w:r>
      <w:r w:rsidRPr="005A7B7B">
        <w:rPr>
          <w:color w:val="000000"/>
        </w:rPr>
        <w:t xml:space="preserve">Ministerstva spravedlnosti (Vězeňská služba), </w:t>
      </w:r>
      <w:r w:rsidRPr="005A7B7B">
        <w:t xml:space="preserve">Ministerstva financí (Celní správa) </w:t>
      </w:r>
      <w:r w:rsidRPr="005A7B7B">
        <w:rPr>
          <w:color w:val="000000"/>
        </w:rPr>
        <w:t>a Generální inspekce bezpečnostních sborů.</w:t>
      </w:r>
    </w:p>
    <w:p w:rsidR="00C96D84" w:rsidRDefault="00AE5F7E" w:rsidP="00726CB4">
      <w:pPr>
        <w:pStyle w:val="SRTextnomal"/>
      </w:pPr>
      <w:r w:rsidRPr="005A7B7B">
        <w:t>Odhad celkových příjmů z pojistného na sociální zabezpečení pro rok 2025 č</w:t>
      </w:r>
      <w:r w:rsidR="00726CB4">
        <w:t>iní 809,4 mld. Kč, a je o 53,2 </w:t>
      </w:r>
      <w:r w:rsidRPr="005A7B7B">
        <w:t xml:space="preserve">mld. Kč vyšší, než </w:t>
      </w:r>
      <w:r w:rsidR="00914717">
        <w:t>je rozpočtováno pro 2024 (tj. </w:t>
      </w:r>
      <w:r w:rsidR="00726CB4">
        <w:t>o </w:t>
      </w:r>
      <w:r w:rsidRPr="005A7B7B">
        <w:t>7,0 %). Z odhadu celkových příjmů z poji</w:t>
      </w:r>
      <w:r w:rsidR="00C07F86">
        <w:t xml:space="preserve">stného na sociální zabezpečení </w:t>
      </w:r>
      <w:r w:rsidRPr="005A7B7B">
        <w:t>připadá na pojistné na důchodové pojištění pro rok 2025 (včetně přísluš</w:t>
      </w:r>
      <w:r w:rsidR="00C96D84">
        <w:t>enství) 710,5 mld. Kč, tj. 87,8 </w:t>
      </w:r>
      <w:r w:rsidRPr="005A7B7B">
        <w:t>%.</w:t>
      </w:r>
      <w:r w:rsidR="00C96D84" w:rsidRPr="00C96D84">
        <w:t xml:space="preserve"> </w:t>
      </w:r>
    </w:p>
    <w:p w:rsidR="00160FFE" w:rsidRPr="005A7B7B" w:rsidRDefault="00C96D84" w:rsidP="00726CB4">
      <w:pPr>
        <w:pStyle w:val="SRTextnomal"/>
      </w:pPr>
      <w:r w:rsidRPr="005A7B7B">
        <w:t>Příjmy z pojistného na sociální zabezpečení tvoří 41,9 % celkových příjmů státního rozpočtu (bez příjmů z EU a FM). Pokud se predikce příjmů z pojistného na sociální zabezpečení</w:t>
      </w:r>
      <w:r w:rsidR="00234924">
        <w:t xml:space="preserve"> a výdajů na důchody v roce 2025</w:t>
      </w:r>
      <w:r w:rsidRPr="005A7B7B">
        <w:t xml:space="preserve"> reálně naplní, přesáhnou výdaje na důchody a výdaje na správu důchodové agendy příjmy z pojistného na důchodové pojištění. V roce 2025 by se tak jednalo o deficit důchodového systému ve výši cca 13</w:t>
      </w:r>
      <w:r w:rsidR="009B5DA9">
        <w:t>,22</w:t>
      </w:r>
      <w:r w:rsidRPr="005A7B7B">
        <w:t xml:space="preserve"> mld. Kč.</w:t>
      </w:r>
      <w:r w:rsidR="00234924">
        <w:t xml:space="preserve"> Hospodaření tohoto systému od roku 2007 ukazuje následující graf.</w:t>
      </w:r>
    </w:p>
    <w:p w:rsidR="00403AD0" w:rsidRPr="005A7B7B" w:rsidRDefault="00403AD0" w:rsidP="00F17546">
      <w:pPr>
        <w:pStyle w:val="SRTextnomal"/>
        <w:sectPr w:rsidR="00403AD0" w:rsidRPr="005A7B7B" w:rsidSect="00187B06">
          <w:type w:val="continuous"/>
          <w:pgSz w:w="11906" w:h="16838" w:code="9"/>
          <w:pgMar w:top="1134" w:right="1134" w:bottom="1134" w:left="1134" w:header="709" w:footer="709" w:gutter="0"/>
          <w:cols w:num="2" w:space="397"/>
          <w:docGrid w:linePitch="360"/>
        </w:sectPr>
      </w:pPr>
    </w:p>
    <w:p w:rsidR="006E4339" w:rsidRPr="005A7B7B" w:rsidRDefault="00426187" w:rsidP="000D440D">
      <w:pPr>
        <w:pStyle w:val="SRTitulek1"/>
        <w:rPr>
          <w:i/>
        </w:rPr>
      </w:pPr>
      <w:bookmarkStart w:id="76" w:name="_Toc80264003"/>
      <w:bookmarkStart w:id="77" w:name="_Toc175913930"/>
      <w:r w:rsidRPr="005A7B7B">
        <w:t xml:space="preserve">Tabulka </w:t>
      </w:r>
      <w:fldSimple w:instr=" SEQ Tabulka \* ARABIC ">
        <w:r w:rsidR="0010122A">
          <w:rPr>
            <w:noProof/>
          </w:rPr>
          <w:t>8</w:t>
        </w:r>
      </w:fldSimple>
      <w:r w:rsidRPr="005A7B7B">
        <w:t xml:space="preserve"> </w:t>
      </w:r>
      <w:r w:rsidR="006E4339" w:rsidRPr="005A7B7B">
        <w:t xml:space="preserve">Vývoj </w:t>
      </w:r>
      <w:r w:rsidR="001D330E" w:rsidRPr="005A7B7B">
        <w:t xml:space="preserve">příjmů z pojistného na sociální zabezpečení </w:t>
      </w:r>
      <w:r w:rsidR="00B41049" w:rsidRPr="005A7B7B">
        <w:rPr>
          <w:i/>
        </w:rPr>
        <w:t>(v mld</w:t>
      </w:r>
      <w:r w:rsidR="006E4339" w:rsidRPr="005A7B7B">
        <w:rPr>
          <w:i/>
        </w:rPr>
        <w:t>. Kč)</w:t>
      </w:r>
      <w:bookmarkEnd w:id="76"/>
      <w:bookmarkEnd w:id="77"/>
    </w:p>
    <w:p w:rsidR="007B1E94" w:rsidRPr="005A7B7B" w:rsidRDefault="00375E48" w:rsidP="006227A2">
      <w:pPr>
        <w:pStyle w:val="SRTextnomal"/>
      </w:pPr>
      <w:r w:rsidRPr="005A7B7B">
        <w:rPr>
          <w:noProof/>
        </w:rPr>
        <w:drawing>
          <wp:inline distT="0" distB="0" distL="0" distR="0">
            <wp:extent cx="6115050" cy="1143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1143000"/>
                    </a:xfrm>
                    <a:prstGeom prst="rect">
                      <a:avLst/>
                    </a:prstGeom>
                    <a:noFill/>
                    <a:ln>
                      <a:noFill/>
                    </a:ln>
                  </pic:spPr>
                </pic:pic>
              </a:graphicData>
            </a:graphic>
          </wp:inline>
        </w:drawing>
      </w:r>
    </w:p>
    <w:p w:rsidR="00C96D84" w:rsidRDefault="00C96D84" w:rsidP="006227A2">
      <w:pPr>
        <w:pStyle w:val="SRTextnomal"/>
        <w:sectPr w:rsidR="00C96D84" w:rsidSect="00187B06">
          <w:type w:val="continuous"/>
          <w:pgSz w:w="11906" w:h="16838" w:code="9"/>
          <w:pgMar w:top="1134" w:right="1134" w:bottom="1134" w:left="1134" w:header="709" w:footer="709" w:gutter="0"/>
          <w:cols w:space="397"/>
          <w:docGrid w:linePitch="360"/>
        </w:sectPr>
      </w:pPr>
    </w:p>
    <w:p w:rsidR="00931B27" w:rsidRPr="005A7B7B" w:rsidRDefault="00931B27" w:rsidP="00931B27">
      <w:pPr>
        <w:pStyle w:val="SRTitulek1"/>
        <w:rPr>
          <w:i/>
        </w:rPr>
      </w:pPr>
      <w:bookmarkStart w:id="78" w:name="_Toc175913959"/>
      <w:r w:rsidRPr="005A7B7B">
        <w:lastRenderedPageBreak/>
        <w:t xml:space="preserve">Graf </w:t>
      </w:r>
      <w:fldSimple w:instr=" SEQ Graf \* ARABIC ">
        <w:r w:rsidR="0010122A">
          <w:rPr>
            <w:noProof/>
          </w:rPr>
          <w:t>5</w:t>
        </w:r>
      </w:fldSimple>
      <w:r w:rsidRPr="005A7B7B">
        <w:t xml:space="preserve"> </w:t>
      </w:r>
      <w:r w:rsidR="003437E9" w:rsidRPr="003437E9">
        <w:t xml:space="preserve">Hospodaření důchodového systému od roku 2007 </w:t>
      </w:r>
      <w:r w:rsidR="003437E9" w:rsidRPr="003437E9">
        <w:rPr>
          <w:i/>
        </w:rPr>
        <w:t>(v mld. Kč)</w:t>
      </w:r>
      <w:bookmarkEnd w:id="78"/>
    </w:p>
    <w:p w:rsidR="00C96D84" w:rsidRDefault="00375E48" w:rsidP="006227A2">
      <w:pPr>
        <w:pStyle w:val="SRTextnomal"/>
      </w:pPr>
      <w:r>
        <w:rPr>
          <w:noProof/>
        </w:rPr>
        <w:drawing>
          <wp:inline distT="0" distB="0" distL="0" distR="0" wp14:anchorId="11B451CE">
            <wp:extent cx="6027420" cy="2333625"/>
            <wp:effectExtent l="0" t="0" r="0"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27420" cy="2333625"/>
                    </a:xfrm>
                    <a:prstGeom prst="rect">
                      <a:avLst/>
                    </a:prstGeom>
                    <a:noFill/>
                  </pic:spPr>
                </pic:pic>
              </a:graphicData>
            </a:graphic>
          </wp:inline>
        </w:drawing>
      </w:r>
    </w:p>
    <w:p w:rsidR="00931B27" w:rsidRDefault="00931B27" w:rsidP="006227A2">
      <w:pPr>
        <w:pStyle w:val="SRTextnomal"/>
        <w:sectPr w:rsidR="00931B27" w:rsidSect="00187B06">
          <w:type w:val="continuous"/>
          <w:pgSz w:w="11906" w:h="16838" w:code="9"/>
          <w:pgMar w:top="1134" w:right="1134" w:bottom="1134" w:left="1134" w:header="709" w:footer="709" w:gutter="0"/>
          <w:cols w:space="397"/>
          <w:docGrid w:linePitch="360"/>
        </w:sectPr>
      </w:pPr>
    </w:p>
    <w:p w:rsidR="00931B27" w:rsidRDefault="00931B27" w:rsidP="00727365"/>
    <w:p w:rsidR="00727365" w:rsidRPr="00727365" w:rsidRDefault="00727365" w:rsidP="00727365"/>
    <w:p w:rsidR="006D1A14" w:rsidRPr="00727365" w:rsidRDefault="006D1A14" w:rsidP="00727365">
      <w:pPr>
        <w:sectPr w:rsidR="006D1A14" w:rsidRPr="00727365" w:rsidSect="00187B06">
          <w:type w:val="continuous"/>
          <w:pgSz w:w="11906" w:h="16838" w:code="9"/>
          <w:pgMar w:top="1134" w:right="1134" w:bottom="1134" w:left="1134" w:header="709" w:footer="709" w:gutter="0"/>
          <w:cols w:space="397"/>
          <w:docGrid w:linePitch="360"/>
        </w:sectPr>
      </w:pPr>
    </w:p>
    <w:p w:rsidR="00727365" w:rsidRPr="00727365" w:rsidRDefault="00727365" w:rsidP="00727365">
      <w:pPr>
        <w:pStyle w:val="SRNadpis2"/>
      </w:pPr>
      <w:bookmarkStart w:id="79" w:name="_Toc80264004"/>
      <w:bookmarkStart w:id="80" w:name="_Toc175913885"/>
      <w:r>
        <w:t>Ostatní příjmy</w:t>
      </w:r>
      <w:bookmarkEnd w:id="80"/>
    </w:p>
    <w:p w:rsidR="006E4339" w:rsidRPr="005A7B7B" w:rsidRDefault="006E4339" w:rsidP="000D440D">
      <w:pPr>
        <w:pStyle w:val="SRTitulek1"/>
        <w:rPr>
          <w:i/>
        </w:rPr>
      </w:pPr>
      <w:bookmarkStart w:id="81" w:name="_Toc175913931"/>
      <w:r w:rsidRPr="005A7B7B">
        <w:t xml:space="preserve">Tabulka </w:t>
      </w:r>
      <w:fldSimple w:instr=" SEQ Tabulka \* ARABIC ">
        <w:r w:rsidR="0010122A">
          <w:rPr>
            <w:noProof/>
          </w:rPr>
          <w:t>9</w:t>
        </w:r>
      </w:fldSimple>
      <w:r w:rsidRPr="005A7B7B">
        <w:t xml:space="preserve"> Vývoj ostatních příjmů </w:t>
      </w:r>
      <w:r w:rsidRPr="005A7B7B">
        <w:rPr>
          <w:i/>
        </w:rPr>
        <w:t>(v mil. Kč)</w:t>
      </w:r>
      <w:bookmarkEnd w:id="79"/>
      <w:bookmarkEnd w:id="81"/>
    </w:p>
    <w:p w:rsidR="00792EDC" w:rsidRPr="005A7B7B" w:rsidRDefault="00375E48" w:rsidP="006227A2">
      <w:pPr>
        <w:pStyle w:val="SRTextnomal"/>
      </w:pPr>
      <w:r w:rsidRPr="005A7B7B">
        <w:rPr>
          <w:noProof/>
        </w:rPr>
        <w:drawing>
          <wp:inline distT="0" distB="0" distL="0" distR="0">
            <wp:extent cx="6038850" cy="180022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8850" cy="1800225"/>
                    </a:xfrm>
                    <a:prstGeom prst="rect">
                      <a:avLst/>
                    </a:prstGeom>
                    <a:noFill/>
                    <a:ln>
                      <a:noFill/>
                    </a:ln>
                  </pic:spPr>
                </pic:pic>
              </a:graphicData>
            </a:graphic>
          </wp:inline>
        </w:drawing>
      </w:r>
    </w:p>
    <w:p w:rsidR="003437E9" w:rsidRDefault="003437E9" w:rsidP="006227A2">
      <w:pPr>
        <w:pStyle w:val="SRTextnomal"/>
        <w:sectPr w:rsidR="003437E9" w:rsidSect="00187B06">
          <w:type w:val="continuous"/>
          <w:pgSz w:w="11906" w:h="16838" w:code="9"/>
          <w:pgMar w:top="1134" w:right="1134" w:bottom="1134" w:left="1134" w:header="709" w:footer="709" w:gutter="0"/>
          <w:cols w:space="397"/>
          <w:docGrid w:linePitch="360"/>
        </w:sectPr>
      </w:pPr>
    </w:p>
    <w:p w:rsidR="00F144F8" w:rsidRDefault="00F144F8" w:rsidP="006227A2">
      <w:pPr>
        <w:pStyle w:val="SRTextnomal"/>
      </w:pPr>
    </w:p>
    <w:p w:rsidR="003437E9" w:rsidRPr="005A7B7B" w:rsidRDefault="003437E9" w:rsidP="006227A2">
      <w:pPr>
        <w:pStyle w:val="SRTextnomal"/>
      </w:pPr>
    </w:p>
    <w:p w:rsidR="00B74ABB" w:rsidRPr="005A7B7B" w:rsidRDefault="00B74ABB" w:rsidP="00F17546">
      <w:pPr>
        <w:pStyle w:val="SRTextnomal"/>
        <w:sectPr w:rsidR="00B74ABB" w:rsidRPr="005A7B7B" w:rsidSect="00187B06">
          <w:type w:val="continuous"/>
          <w:pgSz w:w="11906" w:h="16838" w:code="9"/>
          <w:pgMar w:top="1134" w:right="1134" w:bottom="1134" w:left="1134" w:header="709" w:footer="709" w:gutter="0"/>
          <w:cols w:space="397"/>
          <w:docGrid w:linePitch="360"/>
        </w:sectPr>
      </w:pPr>
    </w:p>
    <w:p w:rsidR="0094783E" w:rsidRPr="005A7B7B" w:rsidRDefault="0094783E" w:rsidP="0094783E">
      <w:pPr>
        <w:pStyle w:val="SRTextnomal"/>
      </w:pPr>
      <w:r w:rsidRPr="005A7B7B">
        <w:t xml:space="preserve">Nedaňové příjmy, kapitálové příjmy a přijaté transfery jsou rozpočtovány pro rok 2025 ve výši </w:t>
      </w:r>
      <w:r w:rsidR="00DD4574" w:rsidRPr="005A7B7B">
        <w:t>246</w:t>
      </w:r>
      <w:r w:rsidRPr="005A7B7B">
        <w:t xml:space="preserve"> mld. Kč. Ve srovnání se státním rozpočtem na rok 2024 jsou celkově vyšší o 14,3 mld. Kč. Pokles u kapitálových příjmů ve výši </w:t>
      </w:r>
      <w:r w:rsidR="00DD4574" w:rsidRPr="005A7B7B">
        <w:t>8</w:t>
      </w:r>
      <w:r w:rsidRPr="005A7B7B">
        <w:t xml:space="preserve"> mld. Kč je způsoben zejména poklesem v kapitole Ministerstvo životního prostředí (o 10,7 mld. Kč), a to z důvodu nižšího příjmu z emisních povolenek, a dále naopak u kapitoly Ministerstvo fina</w:t>
      </w:r>
      <w:r w:rsidR="00C07F86">
        <w:t>ncí vzrůstají tyto příjmy o 2,5 </w:t>
      </w:r>
      <w:r w:rsidRPr="005A7B7B">
        <w:t>mld. Kč, kde je důvodem příjem z prodeje dlouhodobého majetku a dále vzrůstají příjmy z prodeje pozemk</w:t>
      </w:r>
      <w:r w:rsidR="009C3E85" w:rsidRPr="005A7B7B">
        <w:t>ů</w:t>
      </w:r>
      <w:r w:rsidRPr="005A7B7B">
        <w:t xml:space="preserve"> kapitoly Ministerstva zemědělství o 0,1 mld. Kč meziročně. </w:t>
      </w:r>
    </w:p>
    <w:p w:rsidR="000D17D8" w:rsidRPr="005A7B7B" w:rsidRDefault="0094783E" w:rsidP="00F17546">
      <w:pPr>
        <w:pStyle w:val="SRTextnomal"/>
      </w:pPr>
      <w:r w:rsidRPr="00C96D84">
        <w:t>Přijaté transfery se meziročně zvyšují o 12,2 mld. Kč, přičemž z toho příjmy z prostředků EU a FM meziročně rostou o 26,1 mld. Kč. Přijaté transfery ze státního rozpočtu se naopak meziročně snižují o 13,8 mld. Kč, zejména v kapitole Všeobecná pokl</w:t>
      </w:r>
      <w:r w:rsidR="00C07F86">
        <w:t>adní správa klesají meziročně o </w:t>
      </w:r>
      <w:r w:rsidRPr="00C96D84">
        <w:t>13,5 mld. Kč u příjmu ze zvláštních účtů MF na úroveň 16,5 mld. Kč v roce 2025. V kapitole Ministerstvo zemědělství se rozpočtují v rámci účetní operace</w:t>
      </w:r>
      <w:r w:rsidRPr="005A7B7B">
        <w:t xml:space="preserve"> PRV prostředky ve výši 668 mil. Kč (tj. meziroční pokles o 432 mil. Kč).</w:t>
      </w:r>
    </w:p>
    <w:p w:rsidR="000D17D8" w:rsidRPr="005A7B7B" w:rsidRDefault="000D17D8" w:rsidP="008A125D">
      <w:pPr>
        <w:sectPr w:rsidR="000D17D8" w:rsidRPr="005A7B7B" w:rsidSect="00187B06">
          <w:type w:val="continuous"/>
          <w:pgSz w:w="11906" w:h="16838" w:code="9"/>
          <w:pgMar w:top="1134" w:right="1134" w:bottom="1134" w:left="1134" w:header="709" w:footer="709" w:gutter="0"/>
          <w:cols w:num="2" w:space="397"/>
          <w:docGrid w:linePitch="360"/>
        </w:sectPr>
      </w:pPr>
    </w:p>
    <w:p w:rsidR="00CF04A9" w:rsidRPr="005A7B7B" w:rsidRDefault="003437E9" w:rsidP="00671AAF">
      <w:pPr>
        <w:pStyle w:val="SRNadpis3"/>
      </w:pPr>
      <w:bookmarkStart w:id="82" w:name="_Toc52369861"/>
      <w:r>
        <w:br w:type="page"/>
      </w:r>
      <w:bookmarkStart w:id="83" w:name="_Toc175913886"/>
      <w:r w:rsidR="00CF04A9" w:rsidRPr="005A7B7B">
        <w:lastRenderedPageBreak/>
        <w:t>Nedaňové příjmy</w:t>
      </w:r>
      <w:bookmarkEnd w:id="82"/>
      <w:bookmarkEnd w:id="83"/>
    </w:p>
    <w:p w:rsidR="00577266" w:rsidRPr="005A7B7B" w:rsidRDefault="00577266" w:rsidP="00B10007">
      <w:pPr>
        <w:rPr>
          <w:b/>
        </w:rPr>
        <w:sectPr w:rsidR="00577266" w:rsidRPr="005A7B7B" w:rsidSect="00187B06">
          <w:type w:val="continuous"/>
          <w:pgSz w:w="11906" w:h="16838" w:code="9"/>
          <w:pgMar w:top="1134" w:right="1134" w:bottom="1134" w:left="1134" w:header="709" w:footer="709" w:gutter="0"/>
          <w:cols w:space="397"/>
          <w:docGrid w:linePitch="360"/>
        </w:sectPr>
      </w:pPr>
    </w:p>
    <w:p w:rsidR="0094783E" w:rsidRPr="005A7B7B" w:rsidRDefault="0094783E" w:rsidP="0094783E">
      <w:pPr>
        <w:pStyle w:val="SRTextnomal"/>
      </w:pPr>
      <w:r w:rsidRPr="005A7B7B">
        <w:t xml:space="preserve">Nedaňové příjmy tvoří především příjmy jednotlivých kapitol za služby, které poskytují veřejnosti. Dále to jsou přijaté vratky dotací, pokuty a jiné sankční platby, příjmy z prodeje nekapitálového majetku, přijaté splátky návratných finančních výpomocí a ostatní příjmy. </w:t>
      </w:r>
    </w:p>
    <w:p w:rsidR="0094783E" w:rsidRPr="005A7B7B" w:rsidRDefault="0094783E" w:rsidP="0094783E">
      <w:pPr>
        <w:pStyle w:val="SRTextnomal"/>
        <w:keepNext/>
      </w:pPr>
      <w:r w:rsidRPr="005A7B7B">
        <w:t>U tohoto druhu příjmů se předpokládá zvýšení celkového objemu oproti roku 2024 o 10,1 mld. Kč, tj. na částku 38,9 mld. Kč. Odhady jednotlivých položek vycházejí z těchto předpokladů:</w:t>
      </w:r>
    </w:p>
    <w:p w:rsidR="0094783E" w:rsidRPr="005A7B7B" w:rsidRDefault="0094783E" w:rsidP="0094783E">
      <w:pPr>
        <w:pStyle w:val="SROdrka1"/>
      </w:pPr>
      <w:r w:rsidRPr="005A7B7B">
        <w:t xml:space="preserve">Celková výše příjmů z vlastní činnosti se rozpočtuje ve výši 2,3 mld. Kč, tj. meziroční </w:t>
      </w:r>
      <w:r w:rsidR="002B1558" w:rsidRPr="005A7B7B">
        <w:t>pokles o 2</w:t>
      </w:r>
      <w:r w:rsidRPr="005A7B7B">
        <w:t xml:space="preserve"> mld. Kč. Pokles je způsoben zejména snížením příjmů z aukce kmitočtů o 2 mld. Kč v kapitole Český telekomunikační úřad. </w:t>
      </w:r>
    </w:p>
    <w:p w:rsidR="0094783E" w:rsidRPr="005A7B7B" w:rsidRDefault="0094783E" w:rsidP="0094783E">
      <w:pPr>
        <w:pStyle w:val="SROdrka1"/>
      </w:pPr>
      <w:r w:rsidRPr="005A7B7B">
        <w:t xml:space="preserve">Odvody organizací jsou rozpočtovány ve výši 15,1 mld. Kč, tj. o 8 mld. Kč více než v roce 2024. V kapitole Ministerstva zemědělství se rozpočtují odvody plynoucí ze státních podniků resp. národních podniků pro rok </w:t>
      </w:r>
      <w:r w:rsidR="002B1558" w:rsidRPr="005A7B7B">
        <w:t xml:space="preserve">2025 </w:t>
      </w:r>
      <w:r w:rsidRPr="005A7B7B">
        <w:t xml:space="preserve">v celkové výši 7,5 mld. Kč. Dále se rozpočtuje meziročně vyšší odvod o </w:t>
      </w:r>
      <w:r w:rsidR="002B1558" w:rsidRPr="005A7B7B">
        <w:t>1</w:t>
      </w:r>
      <w:r w:rsidRPr="005A7B7B">
        <w:t xml:space="preserve"> mld. Kč u kapitoly Ministerstvo obrany. Dále se také rozpočtuje odvod u </w:t>
      </w:r>
      <w:r w:rsidR="002B1558" w:rsidRPr="005A7B7B">
        <w:t>Ministerstva financí ve výši 1</w:t>
      </w:r>
      <w:r w:rsidR="00C07F86">
        <w:t> </w:t>
      </w:r>
      <w:r w:rsidRPr="005A7B7B">
        <w:t>mld. Kč, u Ministerstva dopr</w:t>
      </w:r>
      <w:r w:rsidR="00AB3DC2">
        <w:t>avy meziročně vyšší odvod o 800 </w:t>
      </w:r>
      <w:r w:rsidRPr="005A7B7B">
        <w:t xml:space="preserve">mil. Kč, u Ministerstva průmyslu a obchodu o 200 mil. Kč meziročně a u kapitoly Všeobecná pokladní správa se zvyšuje odvod přebytků ze zákonného pojištění odpovědnosti zaměstnavatele za škodu o 200 mil. Kč meziročně. Naopak pak meziročně klesá odvod u Ministerstva zdravotnictví o 250 mil. Kč. </w:t>
      </w:r>
    </w:p>
    <w:p w:rsidR="0094783E" w:rsidRPr="005A7B7B" w:rsidRDefault="0094783E" w:rsidP="0094783E">
      <w:pPr>
        <w:pStyle w:val="SROdrka1"/>
      </w:pPr>
      <w:r w:rsidRPr="005A7B7B">
        <w:t xml:space="preserve">Příjmy z úroků a realizace finančního majetku se rozpočtují ve výši 8,6 mld. Kč, tj. celkově o </w:t>
      </w:r>
      <w:r w:rsidR="002B1558" w:rsidRPr="005A7B7B">
        <w:t>3</w:t>
      </w:r>
      <w:r w:rsidRPr="005A7B7B">
        <w:t xml:space="preserve"> mld. Kč více než v roce 2024. Součástí jsou i příjmy z dividend v kapitole Ministerstva průmyslu a obchodu (Česká energetická přenosová soustava - ČEPS, a.s.) ve výši 2 mld. Kč pro rok 2025 a v kapitole Operace státních finančních aktiv jsou zahrnuty úrokové výnosy z finančního investování na jaderném účtu a příjmy </w:t>
      </w:r>
      <w:r w:rsidRPr="005A7B7B">
        <w:t>z dividend ve výši 6,6 mld. Kč (o </w:t>
      </w:r>
      <w:r w:rsidR="002B1558" w:rsidRPr="005A7B7B">
        <w:t>3</w:t>
      </w:r>
      <w:r w:rsidRPr="005A7B7B">
        <w:t xml:space="preserve"> mld. Kč více než v roce 2024). </w:t>
      </w:r>
    </w:p>
    <w:p w:rsidR="0094783E" w:rsidRPr="005A7B7B" w:rsidRDefault="0094783E" w:rsidP="0094783E">
      <w:pPr>
        <w:pStyle w:val="SROdrka1"/>
      </w:pPr>
      <w:r w:rsidRPr="005A7B7B">
        <w:t>Příjmy ze sankčních plateb se odhadují ve výši 2,1 mld. Kč, tj. o 0,5 mld. Kč více než v roce 2024. Nárůst se týká kapitoly Ministerstvo financí o 550 mil. Kč, naopak u kapitol Ministerstvo školství, mládeže a tělovýchovy a Ministerstva spravedlnost</w:t>
      </w:r>
      <w:r w:rsidR="00C07F86">
        <w:t>i naopak klesají o 24 </w:t>
      </w:r>
      <w:r w:rsidRPr="005A7B7B">
        <w:t xml:space="preserve">mil. Kč meziročně. </w:t>
      </w:r>
    </w:p>
    <w:p w:rsidR="0094783E" w:rsidRPr="005A7B7B" w:rsidRDefault="0094783E" w:rsidP="0094783E">
      <w:pPr>
        <w:pStyle w:val="SROdrka1"/>
      </w:pPr>
      <w:r w:rsidRPr="005A7B7B">
        <w:t>Příjmy z dobrovolného pojistného na sociální zabezpečení (kapitola Ministerstvo práce a sociálních věcí) se očekávají ve výši 660 mil. Kč, tj. o 110 mil. Kč více než v roce 2024.</w:t>
      </w:r>
    </w:p>
    <w:p w:rsidR="0094783E" w:rsidRPr="005A7B7B" w:rsidRDefault="0094783E" w:rsidP="0094783E">
      <w:pPr>
        <w:pStyle w:val="SROdrka1"/>
      </w:pPr>
      <w:r w:rsidRPr="005A7B7B">
        <w:t>Ostatní příjmy (příjmy z pronájmu majetku, přijaté vratky transferů, příjmy z prodeje krátkodobého a drobného dlouhodobého majetku, ostatní nedaňové příjmy, příjmy z využívání výhradních práv k přírodním zdrojům, příjmy za využívání dalších majetkových práv) se rozpočtují ve výši 5,6 mld. Kč, tj. o 0,3 mld. Kč více než v roce 2024. S vyššími příjmy počítá kapitola Ministerstvo práce a sociálních věcí o 194 mil. Kč, kapitola Ministerstvo vnitra o 101 mil. Kč, Ministerstvo dopravy o 45,5 mil. K</w:t>
      </w:r>
      <w:r w:rsidR="00C07F86">
        <w:t>č, Ministerstvo spravedlnosti o </w:t>
      </w:r>
      <w:r w:rsidRPr="005A7B7B">
        <w:t xml:space="preserve">123 mil. Kč. Naopak s nižšími příjmy počítá Ministerstvo financí o 69 mil. Kč a Ministerstvo zemědělství o 95 mil. Kč. </w:t>
      </w:r>
    </w:p>
    <w:p w:rsidR="0094783E" w:rsidRPr="005A7B7B" w:rsidRDefault="0094783E" w:rsidP="0094783E">
      <w:pPr>
        <w:pStyle w:val="SROdrka1"/>
      </w:pPr>
      <w:r w:rsidRPr="005A7B7B">
        <w:t>V návaznosti na splátkové kalendáře se rozpočtují příjmy ze splátek návratných finančních výpomocí ve výši 350,1 mil. Kč (pokles o 7,3 mil. Kč meziročně) a příjmy ze zahra</w:t>
      </w:r>
      <w:r w:rsidR="00914717">
        <w:t>ničních pohledávek ve výši 114</w:t>
      </w:r>
      <w:r w:rsidRPr="005A7B7B">
        <w:t xml:space="preserve"> mil. Kč (pokles o 6 mil. Kč meziročně).</w:t>
      </w:r>
    </w:p>
    <w:p w:rsidR="00F225BF" w:rsidRPr="005A7B7B" w:rsidRDefault="0094783E" w:rsidP="001F6317">
      <w:pPr>
        <w:pStyle w:val="SROdrka1"/>
      </w:pPr>
      <w:r w:rsidRPr="005A7B7B">
        <w:t>Příjmy sdílené s Evropskou unií (jedná se o 25 % výnosu z cel, které podle práva Evropské unie zůstávají ponechány členským státům na úhradu nákladů spojených s jejich výběrem) se rozpočtují ve výši 4 mld. Kč, tj. o 0,2 mld. Kč více než v roce 2024.</w:t>
      </w:r>
    </w:p>
    <w:p w:rsidR="00577266" w:rsidRPr="005A7B7B" w:rsidRDefault="00577266" w:rsidP="006A138C">
      <w:pPr>
        <w:pStyle w:val="SROdrka1"/>
        <w:sectPr w:rsidR="00577266" w:rsidRPr="005A7B7B" w:rsidSect="00187B06">
          <w:type w:val="continuous"/>
          <w:pgSz w:w="11906" w:h="16838" w:code="9"/>
          <w:pgMar w:top="1134" w:right="1134" w:bottom="1134" w:left="1134" w:header="709" w:footer="709" w:gutter="0"/>
          <w:cols w:num="2" w:space="397"/>
          <w:docGrid w:linePitch="360"/>
        </w:sectPr>
      </w:pPr>
    </w:p>
    <w:p w:rsidR="00577266" w:rsidRPr="005A7B7B" w:rsidRDefault="00CF04A9" w:rsidP="00671AAF">
      <w:pPr>
        <w:pStyle w:val="SRNadpis3"/>
      </w:pPr>
      <w:bookmarkStart w:id="84" w:name="_Toc52369862"/>
      <w:bookmarkStart w:id="85" w:name="_Toc175913887"/>
      <w:r w:rsidRPr="005A7B7B">
        <w:t>Kapitálové příjmy</w:t>
      </w:r>
      <w:bookmarkEnd w:id="84"/>
      <w:bookmarkEnd w:id="85"/>
    </w:p>
    <w:p w:rsidR="005133FB" w:rsidRPr="005A7B7B" w:rsidRDefault="005133FB" w:rsidP="00F17546">
      <w:pPr>
        <w:pStyle w:val="SRTextnomal"/>
        <w:sectPr w:rsidR="005133FB" w:rsidRPr="005A7B7B" w:rsidSect="00187B06">
          <w:type w:val="continuous"/>
          <w:pgSz w:w="11906" w:h="16838" w:code="9"/>
          <w:pgMar w:top="1134" w:right="1134" w:bottom="1134" w:left="1134" w:header="709" w:footer="709" w:gutter="0"/>
          <w:cols w:space="397"/>
          <w:docGrid w:linePitch="360"/>
        </w:sectPr>
      </w:pPr>
    </w:p>
    <w:p w:rsidR="00577266" w:rsidRPr="005A7B7B" w:rsidRDefault="0094783E" w:rsidP="00F17546">
      <w:pPr>
        <w:pStyle w:val="SRTextnomal"/>
      </w:pPr>
      <w:r w:rsidRPr="005A7B7B">
        <w:t xml:space="preserve">Do této kategorie patří především příjmy z  prodeje dlouhodobého majetku. Rozpočtovaná částka pro rok 2025 činí 34,6 mld. Kč (v roce 2024 ve výši 42,6 mld. Kč), tj. meziroční pokles o </w:t>
      </w:r>
      <w:r w:rsidR="002B1558" w:rsidRPr="005A7B7B">
        <w:t>8</w:t>
      </w:r>
      <w:r w:rsidRPr="005A7B7B">
        <w:t xml:space="preserve"> mld. Kč. V této částce jsou zahrnuty mj. příjmy z obchodování s povolenkami na emise skleníkových plynů v kapitole Ministerstvo životního prostředí ve výši </w:t>
      </w:r>
      <w:r w:rsidR="002B1558" w:rsidRPr="005A7B7B">
        <w:t>30</w:t>
      </w:r>
      <w:r w:rsidRPr="005A7B7B">
        <w:t xml:space="preserve"> mld. Kč, tj. meziroční pokles </w:t>
      </w:r>
      <w:r w:rsidRPr="005A7B7B">
        <w:t>o 10,7</w:t>
      </w:r>
      <w:r w:rsidR="002B1558" w:rsidRPr="005A7B7B">
        <w:t> </w:t>
      </w:r>
      <w:r w:rsidRPr="005A7B7B">
        <w:t>mld. Kč. Pro rok 2025 jsou další kapitálové příjmy rozpočtovány zejména v kapitolách Ministerstvo financí ve výši 3,1 mld. Kč (meziroční nárůst o 2,5 mld. Kč), Ministerstvo zemědělství ve výši 1,3 mld. Kč (meziroční nárůst o 0,1 mld. Kč), Ministerstvo obrany ve výši 50,5 mil. Kč či Ministerstvo vnitra ve výši 105,2 mil. Kč (nárůst o 92,4 mil. Kč meziročně).</w:t>
      </w:r>
    </w:p>
    <w:p w:rsidR="000108BF" w:rsidRPr="005A7B7B" w:rsidRDefault="000108BF" w:rsidP="00F17546">
      <w:pPr>
        <w:pStyle w:val="SRTextnomal"/>
        <w:sectPr w:rsidR="000108BF" w:rsidRPr="005A7B7B" w:rsidSect="00187B06">
          <w:type w:val="continuous"/>
          <w:pgSz w:w="11906" w:h="16838" w:code="9"/>
          <w:pgMar w:top="1134" w:right="1134" w:bottom="1134" w:left="1134" w:header="709" w:footer="709" w:gutter="0"/>
          <w:cols w:num="2" w:space="397"/>
          <w:docGrid w:linePitch="360"/>
        </w:sectPr>
      </w:pPr>
    </w:p>
    <w:p w:rsidR="00577266" w:rsidRPr="005A7B7B" w:rsidRDefault="00CF04A9" w:rsidP="00671AAF">
      <w:pPr>
        <w:pStyle w:val="SRNadpis3"/>
      </w:pPr>
      <w:bookmarkStart w:id="86" w:name="_Toc52369863"/>
      <w:bookmarkStart w:id="87" w:name="_Toc175913888"/>
      <w:r w:rsidRPr="005A7B7B">
        <w:t>Přijaté transfery</w:t>
      </w:r>
      <w:bookmarkEnd w:id="86"/>
      <w:bookmarkEnd w:id="87"/>
    </w:p>
    <w:p w:rsidR="005133FB" w:rsidRPr="005A7B7B" w:rsidRDefault="005133FB" w:rsidP="00F17546">
      <w:pPr>
        <w:pStyle w:val="SRTextnomal"/>
        <w:sectPr w:rsidR="005133FB" w:rsidRPr="005A7B7B" w:rsidSect="00187B06">
          <w:type w:val="continuous"/>
          <w:pgSz w:w="11906" w:h="16838" w:code="9"/>
          <w:pgMar w:top="1134" w:right="1134" w:bottom="1134" w:left="1134" w:header="709" w:footer="709" w:gutter="0"/>
          <w:cols w:space="397"/>
          <w:docGrid w:linePitch="360"/>
        </w:sectPr>
      </w:pPr>
    </w:p>
    <w:p w:rsidR="0094783E" w:rsidRPr="005A7B7B" w:rsidRDefault="0094783E" w:rsidP="00914717">
      <w:pPr>
        <w:pStyle w:val="SRTextnomal"/>
      </w:pPr>
      <w:r w:rsidRPr="005A7B7B">
        <w:t xml:space="preserve">Celková částka přijatých transferů se rozpočtuje ve výši 172,5 mld. Kč, což je o 12,2 mld. Kč více než </w:t>
      </w:r>
      <w:r w:rsidRPr="00914717">
        <w:t>bylo</w:t>
      </w:r>
      <w:r w:rsidRPr="005A7B7B">
        <w:t xml:space="preserve"> v roce 2024. V této kategorii příjmů jsou rozpočtovány příjmy z rozpočtu Evropské unie, příjmy na financování projektů </w:t>
      </w:r>
      <w:r w:rsidRPr="005A7B7B">
        <w:t>finančních mechanismů v objemu 153,6 mld. Kč (meziroční nárůst o 26,1 mld. Kč) a ostatní přijaté transfery.</w:t>
      </w:r>
    </w:p>
    <w:p w:rsidR="0094783E" w:rsidRPr="005A7B7B" w:rsidRDefault="0094783E" w:rsidP="0094783E">
      <w:pPr>
        <w:pStyle w:val="SRTextnomal"/>
      </w:pPr>
      <w:r w:rsidRPr="005A7B7B">
        <w:lastRenderedPageBreak/>
        <w:t>Meziroční zvýšení přijatý</w:t>
      </w:r>
      <w:r w:rsidR="00A3688E" w:rsidRPr="005A7B7B">
        <w:t>ch transferů je ovlivněno vyšším</w:t>
      </w:r>
      <w:r w:rsidRPr="005A7B7B">
        <w:t xml:space="preserve"> rozpočtovaným objemem prostředků z rozpočtu Evropské unie a prostředků na financování finančních mechanismů  (v roce</w:t>
      </w:r>
      <w:r w:rsidR="00914717">
        <w:t xml:space="preserve"> 2025 rozpočtována částka 153,6 </w:t>
      </w:r>
      <w:r w:rsidRPr="005A7B7B">
        <w:t>mld. Kč a v roce</w:t>
      </w:r>
      <w:r w:rsidR="00914717">
        <w:t xml:space="preserve"> 2024 rozpočtována částka 127,5 </w:t>
      </w:r>
      <w:r w:rsidRPr="005A7B7B">
        <w:t>mld.</w:t>
      </w:r>
      <w:r w:rsidR="0027701D" w:rsidRPr="005A7B7B">
        <w:t>).</w:t>
      </w:r>
      <w:r w:rsidRPr="005A7B7B">
        <w:t xml:space="preserve"> Národní přijaté transfery však klesají meziročně o 13,8 mld. Kč, zejména kvůli poklesu příjmu </w:t>
      </w:r>
      <w:r w:rsidR="00A3688E" w:rsidRPr="005A7B7B">
        <w:t>ze</w:t>
      </w:r>
      <w:r w:rsidRPr="005A7B7B">
        <w:t xml:space="preserve"> zvláštních účtů MF v kapitole Všeobecná pokladní správa o 13,5 mld. Kč </w:t>
      </w:r>
      <w:r w:rsidR="00A3688E" w:rsidRPr="005A7B7B">
        <w:t>na celkovou výši 16,5 </w:t>
      </w:r>
      <w:r w:rsidRPr="005A7B7B">
        <w:t xml:space="preserve">mld. Kč.  </w:t>
      </w:r>
    </w:p>
    <w:p w:rsidR="0094783E" w:rsidRPr="005A7B7B" w:rsidRDefault="0094783E" w:rsidP="0094783E">
      <w:pPr>
        <w:pStyle w:val="SRTextnomal"/>
      </w:pPr>
      <w:r w:rsidRPr="005A7B7B">
        <w:t xml:space="preserve">Dále se počítá v kapitole Ministerstvo průmyslu a obchodu s příjmy ze zvláštních účtů MF ve výši 1,3 mld. Kč k úhradě nákladů a výdajů spojených s řešením důsledků </w:t>
      </w:r>
      <w:r w:rsidRPr="005A7B7B">
        <w:t>po chemické těžbě uranu a souvisejících činností v oblasti Stráže pod Ralskem podle usnesení vlády č. 176/2022 a dále částka 100 mil. Kč z vypořádání ekologické zátěže ve skladu Vikantice (UV č. 352/</w:t>
      </w:r>
      <w:r w:rsidR="0027701D" w:rsidRPr="005A7B7B">
        <w:t>20</w:t>
      </w:r>
      <w:r w:rsidRPr="005A7B7B">
        <w:t xml:space="preserve">24). </w:t>
      </w:r>
    </w:p>
    <w:p w:rsidR="008D7841" w:rsidRPr="005A7B7B" w:rsidRDefault="0094783E" w:rsidP="0094783E">
      <w:pPr>
        <w:pStyle w:val="SRTextnomal"/>
      </w:pPr>
      <w:r w:rsidRPr="005A7B7B">
        <w:t>V roce 2025 Státní pozemkový úřad plánuje předfinancovat z národních zdrojů akce pozemkových úprav financované z EU ve výši 668 mil. Kč a poté přijme ve stejné výši i prostředky ze Státního zemědělského intervenčního fondu. Zrcadlově pak tato operace probíhá v kapitole Ministerstvo zemědělství jako operace s EU prostředky.</w:t>
      </w:r>
    </w:p>
    <w:p w:rsidR="004708A9" w:rsidRPr="005A7B7B" w:rsidRDefault="004708A9" w:rsidP="00F17546">
      <w:pPr>
        <w:pStyle w:val="SRTextnomal"/>
        <w:sectPr w:rsidR="004708A9" w:rsidRPr="005A7B7B" w:rsidSect="001F6317">
          <w:type w:val="continuous"/>
          <w:pgSz w:w="11906" w:h="16838" w:code="9"/>
          <w:pgMar w:top="1134" w:right="1134" w:bottom="1134" w:left="1134" w:header="709" w:footer="709" w:gutter="0"/>
          <w:cols w:num="2" w:space="397"/>
          <w:docGrid w:linePitch="360"/>
        </w:sectPr>
      </w:pPr>
    </w:p>
    <w:p w:rsidR="00CF04A9" w:rsidRPr="005A7B7B" w:rsidRDefault="00A57316" w:rsidP="007866E6">
      <w:pPr>
        <w:pStyle w:val="SRNadpis1"/>
      </w:pPr>
      <w:bookmarkStart w:id="88" w:name="_Toc52369864"/>
      <w:bookmarkStart w:id="89" w:name="_Toc175913889"/>
      <w:r w:rsidRPr="005A7B7B">
        <w:lastRenderedPageBreak/>
        <w:t>Detailní pohled na výdaje</w:t>
      </w:r>
      <w:bookmarkEnd w:id="88"/>
      <w:bookmarkEnd w:id="89"/>
    </w:p>
    <w:p w:rsidR="00CB1CF8" w:rsidRPr="005A7B7B" w:rsidRDefault="00CB1CF8" w:rsidP="00B10007">
      <w:pPr>
        <w:sectPr w:rsidR="00CB1CF8" w:rsidRPr="005A7B7B" w:rsidSect="00187B06">
          <w:type w:val="continuous"/>
          <w:pgSz w:w="11906" w:h="16838" w:code="9"/>
          <w:pgMar w:top="1134" w:right="1134" w:bottom="1134" w:left="1134" w:header="709" w:footer="709" w:gutter="0"/>
          <w:cols w:space="397"/>
          <w:docGrid w:linePitch="360"/>
        </w:sectPr>
      </w:pPr>
    </w:p>
    <w:p w:rsidR="000E2730" w:rsidRPr="005A7B7B" w:rsidRDefault="008C634B" w:rsidP="00F17546">
      <w:pPr>
        <w:pStyle w:val="SRTextnomal"/>
      </w:pPr>
      <w:r>
        <w:t>C</w:t>
      </w:r>
      <w:r w:rsidRPr="005A7B7B">
        <w:t xml:space="preserve">elkové rozpočtové výdaje </w:t>
      </w:r>
      <w:r>
        <w:t>dosahují ve státním rozpočtu v roce</w:t>
      </w:r>
      <w:r w:rsidR="00CB1CF8" w:rsidRPr="005A7B7B">
        <w:t xml:space="preserve"> 202</w:t>
      </w:r>
      <w:r w:rsidR="00AE70AC" w:rsidRPr="005A7B7B">
        <w:t>5</w:t>
      </w:r>
      <w:r w:rsidR="00CB1CF8" w:rsidRPr="005A7B7B">
        <w:t xml:space="preserve"> objemu </w:t>
      </w:r>
      <w:r w:rsidR="00CD1427" w:rsidRPr="005A7B7B">
        <w:rPr>
          <w:b/>
        </w:rPr>
        <w:t>2</w:t>
      </w:r>
      <w:r w:rsidR="002B138C" w:rsidRPr="005A7B7B">
        <w:rPr>
          <w:b/>
        </w:rPr>
        <w:t> 316,1</w:t>
      </w:r>
      <w:r w:rsidR="00512B63" w:rsidRPr="005A7B7B">
        <w:rPr>
          <w:b/>
        </w:rPr>
        <w:t> </w:t>
      </w:r>
      <w:r w:rsidR="00CB1CF8" w:rsidRPr="005A7B7B">
        <w:rPr>
          <w:b/>
        </w:rPr>
        <w:t>mld. Kč</w:t>
      </w:r>
      <w:r w:rsidR="00CB1CF8" w:rsidRPr="005A7B7B">
        <w:t xml:space="preserve">. Při meziročním </w:t>
      </w:r>
      <w:r w:rsidR="00CB1CF8" w:rsidRPr="005A7B7B">
        <w:t>srovnání celkových výdaj</w:t>
      </w:r>
      <w:r w:rsidR="00F62789" w:rsidRPr="005A7B7B">
        <w:t>ů státního rozpočtu</w:t>
      </w:r>
      <w:r w:rsidR="00CB1CF8" w:rsidRPr="005A7B7B">
        <w:t xml:space="preserve"> dochází k</w:t>
      </w:r>
      <w:r w:rsidR="0011278F" w:rsidRPr="005A7B7B">
        <w:t> </w:t>
      </w:r>
      <w:r w:rsidR="000A0CC0" w:rsidRPr="005A7B7B">
        <w:t>nárůstu</w:t>
      </w:r>
      <w:r w:rsidR="0011278F" w:rsidRPr="005A7B7B">
        <w:t xml:space="preserve"> </w:t>
      </w:r>
      <w:r w:rsidR="00633C69" w:rsidRPr="005A7B7B">
        <w:t xml:space="preserve">o </w:t>
      </w:r>
      <w:r w:rsidR="000A0CC0" w:rsidRPr="005A7B7B">
        <w:t>124,1</w:t>
      </w:r>
      <w:r w:rsidR="000E2730" w:rsidRPr="005A7B7B">
        <w:t> </w:t>
      </w:r>
      <w:r w:rsidR="00CB1CF8" w:rsidRPr="005A7B7B">
        <w:t>mld.</w:t>
      </w:r>
      <w:r w:rsidR="000E2730" w:rsidRPr="005A7B7B">
        <w:t xml:space="preserve"> </w:t>
      </w:r>
      <w:r w:rsidR="00CB1CF8" w:rsidRPr="005A7B7B">
        <w:t>Kč.</w:t>
      </w:r>
    </w:p>
    <w:p w:rsidR="000E2730" w:rsidRPr="005A7B7B" w:rsidRDefault="000E2730" w:rsidP="00F17546">
      <w:pPr>
        <w:pStyle w:val="SRTextnomal"/>
        <w:sectPr w:rsidR="000E2730" w:rsidRPr="005A7B7B" w:rsidSect="00187B06">
          <w:type w:val="continuous"/>
          <w:pgSz w:w="11906" w:h="16838" w:code="9"/>
          <w:pgMar w:top="1134" w:right="1134" w:bottom="1134" w:left="1134" w:header="709" w:footer="709" w:gutter="0"/>
          <w:cols w:num="2" w:space="397"/>
          <w:docGrid w:linePitch="360"/>
        </w:sectPr>
      </w:pPr>
    </w:p>
    <w:p w:rsidR="00007ACB" w:rsidRPr="005A7B7B" w:rsidRDefault="00007ACB" w:rsidP="000D440D">
      <w:pPr>
        <w:pStyle w:val="SRTitulek1"/>
      </w:pPr>
      <w:bookmarkStart w:id="90" w:name="_Toc80264005"/>
      <w:bookmarkStart w:id="91" w:name="_Toc175913932"/>
      <w:r w:rsidRPr="005A7B7B">
        <w:t xml:space="preserve">Tabulka </w:t>
      </w:r>
      <w:fldSimple w:instr=" SEQ Tabulka \* ARABIC ">
        <w:r w:rsidR="0010122A">
          <w:rPr>
            <w:noProof/>
          </w:rPr>
          <w:t>10</w:t>
        </w:r>
      </w:fldSimple>
      <w:r w:rsidRPr="005A7B7B">
        <w:t xml:space="preserve"> Výdaje státního rozpočtu </w:t>
      </w:r>
      <w:r w:rsidRPr="005A7B7B">
        <w:rPr>
          <w:i/>
        </w:rPr>
        <w:t>(v mld. Kč)</w:t>
      </w:r>
      <w:bookmarkEnd w:id="90"/>
      <w:bookmarkEnd w:id="91"/>
    </w:p>
    <w:p w:rsidR="00CB1CF8" w:rsidRPr="005A7B7B" w:rsidRDefault="00375E48" w:rsidP="00CB1CF8">
      <w:r w:rsidRPr="005A7B7B">
        <w:rPr>
          <w:noProof/>
        </w:rPr>
        <w:drawing>
          <wp:inline distT="0" distB="0" distL="0" distR="0">
            <wp:extent cx="6115050" cy="143827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1438275"/>
                    </a:xfrm>
                    <a:prstGeom prst="rect">
                      <a:avLst/>
                    </a:prstGeom>
                    <a:noFill/>
                    <a:ln>
                      <a:noFill/>
                    </a:ln>
                  </pic:spPr>
                </pic:pic>
              </a:graphicData>
            </a:graphic>
          </wp:inline>
        </w:drawing>
      </w:r>
    </w:p>
    <w:p w:rsidR="00D72096" w:rsidRDefault="00D72096" w:rsidP="00237D80">
      <w:pPr>
        <w:rPr>
          <w:i/>
          <w:sz w:val="16"/>
          <w:szCs w:val="16"/>
        </w:rPr>
        <w:sectPr w:rsidR="00D72096" w:rsidSect="00187B06">
          <w:type w:val="continuous"/>
          <w:pgSz w:w="11906" w:h="16838" w:code="9"/>
          <w:pgMar w:top="1134" w:right="1134" w:bottom="1134" w:left="1134" w:header="709" w:footer="709" w:gutter="0"/>
          <w:cols w:space="397"/>
          <w:docGrid w:linePitch="360"/>
        </w:sectPr>
      </w:pPr>
    </w:p>
    <w:p w:rsidR="00237D80" w:rsidRPr="005A7B7B" w:rsidRDefault="00237D80" w:rsidP="00237D80">
      <w:pPr>
        <w:rPr>
          <w:i/>
          <w:sz w:val="16"/>
          <w:szCs w:val="16"/>
        </w:rPr>
      </w:pPr>
      <w:r w:rsidRPr="005A7B7B">
        <w:rPr>
          <w:i/>
          <w:sz w:val="16"/>
          <w:szCs w:val="16"/>
        </w:rPr>
        <w:t>Pozn. rozdíly v součtech = vliv zaokrouhlení.</w:t>
      </w:r>
    </w:p>
    <w:p w:rsidR="00237D80" w:rsidRPr="005A7B7B" w:rsidRDefault="00237D80" w:rsidP="00237D80">
      <w:pPr>
        <w:pStyle w:val="SRTitulek1"/>
        <w:rPr>
          <w:i/>
          <w:sz w:val="16"/>
          <w:szCs w:val="16"/>
        </w:rPr>
        <w:sectPr w:rsidR="00237D80" w:rsidRPr="005A7B7B" w:rsidSect="00187B06">
          <w:type w:val="continuous"/>
          <w:pgSz w:w="11906" w:h="16838" w:code="9"/>
          <w:pgMar w:top="1134" w:right="1134" w:bottom="1134" w:left="1134" w:header="709" w:footer="709" w:gutter="0"/>
          <w:cols w:space="397"/>
          <w:docGrid w:linePitch="360"/>
        </w:sectPr>
      </w:pPr>
    </w:p>
    <w:p w:rsidR="00EC2EFD" w:rsidRPr="005A7B7B" w:rsidRDefault="00EC2EFD" w:rsidP="000D440D">
      <w:pPr>
        <w:pStyle w:val="SRTitulek1"/>
        <w:rPr>
          <w:i/>
        </w:rPr>
      </w:pPr>
      <w:bookmarkStart w:id="92" w:name="_Toc175913960"/>
      <w:r w:rsidRPr="005A7B7B">
        <w:t xml:space="preserve">Graf </w:t>
      </w:r>
      <w:fldSimple w:instr=" SEQ Graf \* ARABIC ">
        <w:r w:rsidR="0010122A">
          <w:rPr>
            <w:noProof/>
          </w:rPr>
          <w:t>6</w:t>
        </w:r>
      </w:fldSimple>
      <w:r w:rsidRPr="005A7B7B">
        <w:t xml:space="preserve"> Struktura celkových výdajů státního rozpočtu </w:t>
      </w:r>
      <w:r w:rsidR="00FF1BAA" w:rsidRPr="005A7B7B">
        <w:t xml:space="preserve">bez EU/FM a úč. oper. PRV </w:t>
      </w:r>
      <w:r w:rsidRPr="005A7B7B">
        <w:rPr>
          <w:i/>
        </w:rPr>
        <w:t>(v mld. Kč)</w:t>
      </w:r>
      <w:bookmarkEnd w:id="92"/>
    </w:p>
    <w:p w:rsidR="006227A2" w:rsidRDefault="00375E48" w:rsidP="006227A2">
      <w:pPr>
        <w:pStyle w:val="SRTextnomal"/>
      </w:pPr>
      <w:r>
        <w:rPr>
          <w:noProof/>
        </w:rPr>
        <w:drawing>
          <wp:inline distT="0" distB="0" distL="0" distR="0" wp14:anchorId="4A439493">
            <wp:extent cx="5995035" cy="2722245"/>
            <wp:effectExtent l="0" t="0" r="0"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95035" cy="2722245"/>
                    </a:xfrm>
                    <a:prstGeom prst="rect">
                      <a:avLst/>
                    </a:prstGeom>
                    <a:noFill/>
                  </pic:spPr>
                </pic:pic>
              </a:graphicData>
            </a:graphic>
          </wp:inline>
        </w:drawing>
      </w:r>
    </w:p>
    <w:p w:rsidR="006227A2" w:rsidRDefault="006227A2" w:rsidP="006227A2">
      <w:pPr>
        <w:pStyle w:val="SRTextnomal"/>
        <w:sectPr w:rsidR="006227A2" w:rsidSect="00187B06">
          <w:type w:val="continuous"/>
          <w:pgSz w:w="11906" w:h="16838" w:code="9"/>
          <w:pgMar w:top="1134" w:right="1134" w:bottom="1134" w:left="1134" w:header="709" w:footer="709" w:gutter="0"/>
          <w:cols w:space="397"/>
          <w:docGrid w:linePitch="360"/>
        </w:sectPr>
      </w:pPr>
    </w:p>
    <w:p w:rsidR="00EC2EFD" w:rsidRPr="005A7B7B" w:rsidRDefault="00EC2EFD" w:rsidP="00EC2EFD"/>
    <w:p w:rsidR="00AF05DF" w:rsidRPr="005A7B7B" w:rsidRDefault="00AF05DF" w:rsidP="00EC2EFD">
      <w:pPr>
        <w:sectPr w:rsidR="00AF05DF" w:rsidRPr="005A7B7B" w:rsidSect="00187B06">
          <w:type w:val="continuous"/>
          <w:pgSz w:w="11906" w:h="16838" w:code="9"/>
          <w:pgMar w:top="1134" w:right="1134" w:bottom="1134" w:left="1134" w:header="709" w:footer="709" w:gutter="0"/>
          <w:cols w:space="397"/>
          <w:docGrid w:linePitch="360"/>
        </w:sectPr>
      </w:pPr>
    </w:p>
    <w:p w:rsidR="00902330" w:rsidRPr="005A7B7B" w:rsidRDefault="00902330" w:rsidP="00D06E57">
      <w:pPr>
        <w:pStyle w:val="SRNadpis2"/>
      </w:pPr>
      <w:bookmarkStart w:id="93" w:name="_Toc52369865"/>
      <w:bookmarkStart w:id="94" w:name="_Toc175913890"/>
      <w:r w:rsidRPr="005A7B7B">
        <w:t>Mandatorní výdaje</w:t>
      </w:r>
      <w:bookmarkEnd w:id="93"/>
      <w:bookmarkEnd w:id="94"/>
    </w:p>
    <w:p w:rsidR="00902330" w:rsidRPr="005A7B7B" w:rsidRDefault="00902330" w:rsidP="00B10007">
      <w:pPr>
        <w:sectPr w:rsidR="00902330" w:rsidRPr="005A7B7B" w:rsidSect="00187B06">
          <w:type w:val="continuous"/>
          <w:pgSz w:w="11906" w:h="16838" w:code="9"/>
          <w:pgMar w:top="1134" w:right="1134" w:bottom="1134" w:left="1134" w:header="709" w:footer="709" w:gutter="0"/>
          <w:cols w:space="397"/>
          <w:docGrid w:linePitch="360"/>
        </w:sectPr>
      </w:pPr>
    </w:p>
    <w:p w:rsidR="00902330" w:rsidRPr="005A7B7B" w:rsidRDefault="00902330" w:rsidP="00F17546">
      <w:pPr>
        <w:pStyle w:val="SRTextnomal"/>
      </w:pPr>
      <w:r w:rsidRPr="005A7B7B">
        <w:t>Výdajovou stranu státního rozpočtu lze hodnotit podle různých kritérií. Jedním z nich je kritérium zákonné předurčenosti výdajových položek, podle něhož lze odlišit výdaje mandatorní, kt</w:t>
      </w:r>
      <w:r w:rsidR="005F10F2" w:rsidRPr="005A7B7B">
        <w:t xml:space="preserve">eré je vláda povinna uhradit, </w:t>
      </w:r>
      <w:r w:rsidR="005F10F2" w:rsidRPr="005A7B7B">
        <w:t>a </w:t>
      </w:r>
      <w:r w:rsidRPr="005A7B7B">
        <w:t>výdaje ostatní (nemandatorní), v jejichž rámci může vláda pružně reagovat na měnící se podmínky fungování organizačních složek státu a na změny v jejich aktivitách.</w:t>
      </w:r>
    </w:p>
    <w:p w:rsidR="00902330" w:rsidRPr="005A7B7B" w:rsidRDefault="00902330" w:rsidP="00F17546">
      <w:pPr>
        <w:pStyle w:val="SRTextnomal"/>
        <w:sectPr w:rsidR="00902330" w:rsidRPr="005A7B7B" w:rsidSect="00187B06">
          <w:type w:val="continuous"/>
          <w:pgSz w:w="11906" w:h="16838" w:code="9"/>
          <w:pgMar w:top="1134" w:right="1134" w:bottom="1134" w:left="1134" w:header="709" w:footer="709" w:gutter="0"/>
          <w:cols w:num="2" w:space="397"/>
          <w:docGrid w:linePitch="360"/>
        </w:sectPr>
      </w:pPr>
    </w:p>
    <w:p w:rsidR="0076577A" w:rsidRPr="005A7B7B" w:rsidRDefault="0076577A" w:rsidP="000D440D">
      <w:pPr>
        <w:pStyle w:val="SRTitulek1"/>
        <w:rPr>
          <w:i/>
        </w:rPr>
      </w:pPr>
      <w:bookmarkStart w:id="95" w:name="_Toc175913961"/>
      <w:r w:rsidRPr="005A7B7B">
        <w:lastRenderedPageBreak/>
        <w:t xml:space="preserve">Graf </w:t>
      </w:r>
      <w:fldSimple w:instr=" SEQ Graf \* ARABIC ">
        <w:r w:rsidR="0010122A">
          <w:rPr>
            <w:noProof/>
          </w:rPr>
          <w:t>7</w:t>
        </w:r>
      </w:fldSimple>
      <w:r w:rsidRPr="005A7B7B">
        <w:t xml:space="preserve"> Vývoj základních ukazatelů státního rozpočtu </w:t>
      </w:r>
      <w:r w:rsidR="0097753D" w:rsidRPr="005A7B7B">
        <w:t>bez</w:t>
      </w:r>
      <w:r w:rsidR="00CC52A6" w:rsidRPr="005A7B7B">
        <w:t xml:space="preserve"> EU/FM a úč. oper. v rámci </w:t>
      </w:r>
      <w:r w:rsidR="00A765BF" w:rsidRPr="005A7B7B">
        <w:t xml:space="preserve">PRV </w:t>
      </w:r>
      <w:r w:rsidRPr="005A7B7B">
        <w:rPr>
          <w:i/>
        </w:rPr>
        <w:t>(v mld. Kč)</w:t>
      </w:r>
      <w:bookmarkEnd w:id="95"/>
    </w:p>
    <w:p w:rsidR="00807816" w:rsidRDefault="00375E48" w:rsidP="006227A2">
      <w:pPr>
        <w:pStyle w:val="SRTextnomal"/>
      </w:pPr>
      <w:r w:rsidRPr="005A7B7B">
        <w:rPr>
          <w:noProof/>
        </w:rPr>
        <w:drawing>
          <wp:inline distT="0" distB="0" distL="0" distR="0">
            <wp:extent cx="5833745" cy="2792730"/>
            <wp:effectExtent l="0" t="0" r="0" b="0"/>
            <wp:docPr id="274"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33745" cy="2792730"/>
                    </a:xfrm>
                    <a:prstGeom prst="rect">
                      <a:avLst/>
                    </a:prstGeom>
                    <a:noFill/>
                  </pic:spPr>
                </pic:pic>
              </a:graphicData>
            </a:graphic>
          </wp:inline>
        </w:drawing>
      </w:r>
    </w:p>
    <w:p w:rsidR="006227A2" w:rsidRDefault="006227A2" w:rsidP="006227A2">
      <w:pPr>
        <w:pStyle w:val="SRTextnomal"/>
        <w:sectPr w:rsidR="006227A2" w:rsidSect="00187B06">
          <w:type w:val="continuous"/>
          <w:pgSz w:w="11906" w:h="16838" w:code="9"/>
          <w:pgMar w:top="1134" w:right="1134" w:bottom="1134" w:left="1134" w:header="709" w:footer="709" w:gutter="0"/>
          <w:cols w:space="397"/>
          <w:docGrid w:linePitch="360"/>
        </w:sectPr>
      </w:pPr>
    </w:p>
    <w:p w:rsidR="00D72096" w:rsidRDefault="00D72096" w:rsidP="0076577A"/>
    <w:p w:rsidR="00D72096" w:rsidRDefault="00D72096" w:rsidP="0076577A">
      <w:pPr>
        <w:sectPr w:rsidR="00D72096" w:rsidSect="00187B06">
          <w:type w:val="continuous"/>
          <w:pgSz w:w="11906" w:h="16838" w:code="9"/>
          <w:pgMar w:top="1134" w:right="1134" w:bottom="1134" w:left="1134" w:header="709" w:footer="709" w:gutter="0"/>
          <w:cols w:space="397"/>
          <w:docGrid w:linePitch="360"/>
        </w:sectPr>
      </w:pPr>
    </w:p>
    <w:p w:rsidR="000A0CC0" w:rsidRPr="005A7B7B" w:rsidRDefault="00AB3DC2" w:rsidP="00914717">
      <w:pPr>
        <w:pStyle w:val="SRTextnomal"/>
      </w:pPr>
      <w:r>
        <w:t>Oproti</w:t>
      </w:r>
      <w:r w:rsidR="000A0CC0" w:rsidRPr="005A7B7B">
        <w:t xml:space="preserve"> roku</w:t>
      </w:r>
      <w:r>
        <w:t xml:space="preserve"> 2024</w:t>
      </w:r>
      <w:r w:rsidR="000A0CC0" w:rsidRPr="005A7B7B">
        <w:t xml:space="preserve"> byl upraven soubor výdajů sledovaných jako mandatorní</w:t>
      </w:r>
      <w:r w:rsidR="00523D7D" w:rsidRPr="005A7B7B">
        <w:t xml:space="preserve"> tak, aby bylo možno </w:t>
      </w:r>
      <w:r w:rsidR="007F04DB" w:rsidRPr="005A7B7B">
        <w:t xml:space="preserve">tato data </w:t>
      </w:r>
      <w:r w:rsidR="00523D7D" w:rsidRPr="005A7B7B">
        <w:t>metodicky snáze spravovat</w:t>
      </w:r>
      <w:r w:rsidR="007F04DB" w:rsidRPr="005A7B7B">
        <w:t>, sledovat a vyhodnocovat</w:t>
      </w:r>
      <w:r w:rsidR="00523D7D" w:rsidRPr="005A7B7B">
        <w:t xml:space="preserve">. </w:t>
      </w:r>
      <w:r w:rsidR="007F04DB" w:rsidRPr="005A7B7B">
        <w:t xml:space="preserve">Charakter </w:t>
      </w:r>
      <w:r w:rsidR="00512186" w:rsidRPr="005A7B7B">
        <w:t xml:space="preserve">a v drtivé většině i rozsah </w:t>
      </w:r>
      <w:r w:rsidR="007F04DB" w:rsidRPr="005A7B7B">
        <w:t>s</w:t>
      </w:r>
      <w:r w:rsidR="00512186" w:rsidRPr="005A7B7B">
        <w:t xml:space="preserve">ledovaného souboru zůstává </w:t>
      </w:r>
      <w:r w:rsidR="007F04DB" w:rsidRPr="005A7B7B">
        <w:t>nadále stejný</w:t>
      </w:r>
      <w:r w:rsidR="00512186" w:rsidRPr="005A7B7B">
        <w:t>.</w:t>
      </w:r>
    </w:p>
    <w:p w:rsidR="00DF0207" w:rsidRPr="005A7B7B" w:rsidRDefault="004D06A7" w:rsidP="000F78C9">
      <w:pPr>
        <w:pStyle w:val="SRTextnomal"/>
        <w:keepNext/>
      </w:pPr>
      <w:r w:rsidRPr="005A7B7B">
        <w:t>M</w:t>
      </w:r>
      <w:r w:rsidR="006C08BE" w:rsidRPr="005A7B7B">
        <w:t>andatorní výdaje</w:t>
      </w:r>
      <w:r w:rsidRPr="005A7B7B">
        <w:t xml:space="preserve"> </w:t>
      </w:r>
      <w:r w:rsidR="00523D7D" w:rsidRPr="005A7B7B">
        <w:t>lze</w:t>
      </w:r>
      <w:r w:rsidRPr="005A7B7B">
        <w:t xml:space="preserve"> </w:t>
      </w:r>
      <w:r w:rsidR="006C08BE" w:rsidRPr="005A7B7B">
        <w:t>člen</w:t>
      </w:r>
      <w:r w:rsidRPr="005A7B7B">
        <w:t>it</w:t>
      </w:r>
      <w:r w:rsidR="0009411E" w:rsidRPr="005A7B7B">
        <w:t xml:space="preserve"> do dvou</w:t>
      </w:r>
      <w:r w:rsidR="00A765BF" w:rsidRPr="005A7B7B">
        <w:t xml:space="preserve"> </w:t>
      </w:r>
      <w:r w:rsidR="00523D7D" w:rsidRPr="005A7B7B">
        <w:t>s</w:t>
      </w:r>
      <w:r w:rsidR="00A765BF" w:rsidRPr="005A7B7B">
        <w:t xml:space="preserve">ledovaných </w:t>
      </w:r>
      <w:r w:rsidRPr="005A7B7B">
        <w:t>kategorií</w:t>
      </w:r>
      <w:r w:rsidR="00DF0207" w:rsidRPr="005A7B7B">
        <w:t>, a to na:</w:t>
      </w:r>
    </w:p>
    <w:p w:rsidR="00904133" w:rsidRPr="005A7B7B" w:rsidRDefault="000A0CC0" w:rsidP="000A0CC0">
      <w:pPr>
        <w:pStyle w:val="SROdrka1"/>
      </w:pPr>
      <w:r w:rsidRPr="005A7B7B">
        <w:t xml:space="preserve">mandatorní výdaje </w:t>
      </w:r>
      <w:r w:rsidR="00DF0207" w:rsidRPr="005A7B7B">
        <w:t>vyplývající ze zákona</w:t>
      </w:r>
      <w:r w:rsidR="00523D7D" w:rsidRPr="005A7B7B">
        <w:t xml:space="preserve"> a</w:t>
      </w:r>
    </w:p>
    <w:p w:rsidR="00DF0207" w:rsidRDefault="00523D7D" w:rsidP="006A138C">
      <w:pPr>
        <w:pStyle w:val="SROdrka1"/>
      </w:pPr>
      <w:r w:rsidRPr="005A7B7B">
        <w:t xml:space="preserve">ostatní mandatorní výdaje a </w:t>
      </w:r>
      <w:r w:rsidR="00DF0207" w:rsidRPr="005A7B7B">
        <w:t>quasi</w:t>
      </w:r>
      <w:r w:rsidR="004D06A7" w:rsidRPr="005A7B7B">
        <w:t xml:space="preserve"> mandatorní výdaje, mezi které patří</w:t>
      </w:r>
      <w:r w:rsidR="00DF0207" w:rsidRPr="005A7B7B">
        <w:t xml:space="preserve"> </w:t>
      </w:r>
      <w:r w:rsidR="00F5129B" w:rsidRPr="005A7B7B">
        <w:t>zejména</w:t>
      </w:r>
      <w:r w:rsidR="00B108A8" w:rsidRPr="005A7B7B">
        <w:t xml:space="preserve"> </w:t>
      </w:r>
      <w:r w:rsidR="00430409" w:rsidRPr="005A7B7B">
        <w:t xml:space="preserve">výdaje OSS a PO na </w:t>
      </w:r>
      <w:r w:rsidR="004D06A7" w:rsidRPr="005A7B7B">
        <w:t>platy</w:t>
      </w:r>
      <w:r w:rsidR="00CE6616">
        <w:t xml:space="preserve"> vč. příslušenství</w:t>
      </w:r>
      <w:r w:rsidR="007F267B" w:rsidRPr="005A7B7B">
        <w:t xml:space="preserve"> a odvody do rozpočtu EU</w:t>
      </w:r>
      <w:r w:rsidR="004D06A7" w:rsidRPr="005A7B7B">
        <w:t>.</w:t>
      </w:r>
    </w:p>
    <w:p w:rsidR="000E3054" w:rsidRPr="005A7B7B" w:rsidRDefault="000E3054" w:rsidP="000E3054">
      <w:pPr>
        <w:pStyle w:val="SROdrka1"/>
        <w:numPr>
          <w:ilvl w:val="0"/>
          <w:numId w:val="0"/>
        </w:numPr>
      </w:pPr>
      <w:r>
        <w:t>Celý soubor mandatorních výdajů je sledována bez prostředků krytých příjmy z EU, FM a úč. operací v rámci PRV.</w:t>
      </w:r>
    </w:p>
    <w:p w:rsidR="002D5907" w:rsidRPr="005A7B7B" w:rsidRDefault="00DF0207" w:rsidP="00F17546">
      <w:pPr>
        <w:pStyle w:val="SRTextnomal"/>
      </w:pPr>
      <w:r w:rsidRPr="005A7B7B">
        <w:t>S</w:t>
      </w:r>
      <w:r w:rsidR="006C08BE" w:rsidRPr="005A7B7B">
        <w:t>ouhrnné údaje o těchto výdajích jsou uvedeny v</w:t>
      </w:r>
      <w:r w:rsidR="00EA0B52" w:rsidRPr="005A7B7B">
        <w:t> </w:t>
      </w:r>
      <w:r w:rsidR="006C08BE" w:rsidRPr="005A7B7B">
        <w:t>následující</w:t>
      </w:r>
      <w:r w:rsidR="00EA0B52" w:rsidRPr="005A7B7B">
        <w:t>ch tabulkách a grafech</w:t>
      </w:r>
      <w:r w:rsidR="006C08BE" w:rsidRPr="005A7B7B">
        <w:t xml:space="preserve"> (podrobné údaje jsou uvedeny v příloze č. 1 této </w:t>
      </w:r>
      <w:r w:rsidR="007F6CC3" w:rsidRPr="005A7B7B">
        <w:t>Z</w:t>
      </w:r>
      <w:r w:rsidR="006C08BE" w:rsidRPr="005A7B7B">
        <w:t>právy).</w:t>
      </w:r>
      <w:r w:rsidR="00615960" w:rsidRPr="005A7B7B">
        <w:t xml:space="preserve"> </w:t>
      </w:r>
    </w:p>
    <w:p w:rsidR="00C30873" w:rsidRPr="005A7B7B" w:rsidRDefault="00615960" w:rsidP="00F17546">
      <w:pPr>
        <w:pStyle w:val="SRTextnomal"/>
      </w:pPr>
      <w:r w:rsidRPr="005A7B7B">
        <w:t>P</w:t>
      </w:r>
      <w:r w:rsidR="00C30873" w:rsidRPr="005A7B7B">
        <w:t xml:space="preserve">odíl </w:t>
      </w:r>
      <w:r w:rsidR="001D47CC" w:rsidRPr="005A7B7B">
        <w:t xml:space="preserve">celkových </w:t>
      </w:r>
      <w:r w:rsidR="00C30873" w:rsidRPr="005A7B7B">
        <w:t xml:space="preserve">mandatorních výdajů státního rozpočtu na celkových výdajích státního rozpočtu </w:t>
      </w:r>
      <w:r w:rsidR="002D5907" w:rsidRPr="005A7B7B">
        <w:t xml:space="preserve">(s vyloučením vlivu EU/FM a účetních operací v rámci PRV) </w:t>
      </w:r>
      <w:r w:rsidR="00C30873" w:rsidRPr="005A7B7B">
        <w:t>se očekává ve výši</w:t>
      </w:r>
      <w:r w:rsidR="00DD1A7F" w:rsidRPr="005A7B7B">
        <w:t xml:space="preserve"> </w:t>
      </w:r>
      <w:r w:rsidR="00AC6048" w:rsidRPr="005A7B7B">
        <w:t>82,8</w:t>
      </w:r>
      <w:r w:rsidR="00DD28DB" w:rsidRPr="005A7B7B">
        <w:t xml:space="preserve"> </w:t>
      </w:r>
      <w:r w:rsidR="00C30873" w:rsidRPr="005A7B7B">
        <w:t>%. V porovnání se schváleným rozpočtem roku 20</w:t>
      </w:r>
      <w:r w:rsidR="00FF7855" w:rsidRPr="005A7B7B">
        <w:t>2</w:t>
      </w:r>
      <w:r w:rsidR="00AC6048" w:rsidRPr="005A7B7B">
        <w:t>4</w:t>
      </w:r>
      <w:r w:rsidR="00C30873" w:rsidRPr="005A7B7B">
        <w:t xml:space="preserve"> dochází ke </w:t>
      </w:r>
      <w:r w:rsidR="00AC6048" w:rsidRPr="005A7B7B">
        <w:t>snížení</w:t>
      </w:r>
      <w:r w:rsidR="009C7C3E" w:rsidRPr="005A7B7B">
        <w:t xml:space="preserve"> </w:t>
      </w:r>
      <w:r w:rsidR="00C30873" w:rsidRPr="005A7B7B">
        <w:t>tohoto podílu o</w:t>
      </w:r>
      <w:r w:rsidR="009C7C3E" w:rsidRPr="005A7B7B">
        <w:t xml:space="preserve"> </w:t>
      </w:r>
      <w:r w:rsidR="00B84FE7" w:rsidRPr="005A7B7B">
        <w:t>1,2</w:t>
      </w:r>
      <w:r w:rsidR="00305B3E" w:rsidRPr="005A7B7B">
        <w:t xml:space="preserve"> </w:t>
      </w:r>
      <w:r w:rsidR="00C30873" w:rsidRPr="005A7B7B">
        <w:t>p.</w:t>
      </w:r>
      <w:r w:rsidR="00950B46" w:rsidRPr="005A7B7B">
        <w:t> </w:t>
      </w:r>
      <w:r w:rsidR="00C30873" w:rsidRPr="005A7B7B">
        <w:t>b.</w:t>
      </w:r>
      <w:r w:rsidR="00C07F86">
        <w:t xml:space="preserve"> </w:t>
      </w:r>
      <w:r w:rsidR="00C008A1" w:rsidRPr="005A7B7B">
        <w:t xml:space="preserve">Podíl </w:t>
      </w:r>
      <w:r w:rsidR="0013698F" w:rsidRPr="005A7B7B">
        <w:t xml:space="preserve">ostatních mandatorních a </w:t>
      </w:r>
      <w:r w:rsidR="00C008A1" w:rsidRPr="005A7B7B">
        <w:t xml:space="preserve">quasi mandatorních výdajů na celkových výdajích státního rozpočtu </w:t>
      </w:r>
      <w:r w:rsidR="0013698F" w:rsidRPr="005A7B7B">
        <w:t>bude ve stejné výši jako v roce 2024</w:t>
      </w:r>
      <w:r w:rsidR="00C008A1" w:rsidRPr="005A7B7B">
        <w:t>.</w:t>
      </w:r>
    </w:p>
    <w:p w:rsidR="002D5907" w:rsidRPr="005A7B7B" w:rsidRDefault="0013698F" w:rsidP="00F17546">
      <w:pPr>
        <w:pStyle w:val="SRTextnomal"/>
      </w:pPr>
      <w:r w:rsidRPr="005A7B7B">
        <w:t>V</w:t>
      </w:r>
      <w:r w:rsidR="002D5907" w:rsidRPr="005A7B7B">
        <w:t xml:space="preserve">ýrazná změna podílů </w:t>
      </w:r>
      <w:r w:rsidRPr="005A7B7B">
        <w:t>mandatorních výdajů vyplývajících ze záko</w:t>
      </w:r>
      <w:r w:rsidR="00B84FE7" w:rsidRPr="005A7B7B">
        <w:t xml:space="preserve">na a quasi mandatorních výdajů mezi roky 2023 a 2024 byla způsobena </w:t>
      </w:r>
      <w:r w:rsidR="002D5907" w:rsidRPr="005A7B7B">
        <w:t>zejména tím, že meziročně došlo k přesunu zatříd</w:t>
      </w:r>
      <w:r w:rsidR="005F10F2" w:rsidRPr="005A7B7B">
        <w:t>ění výdajů kapitoly Ministerstvo</w:t>
      </w:r>
      <w:r w:rsidR="002D5907" w:rsidRPr="005A7B7B">
        <w:t xml:space="preserve"> obrany ze souboru sledovaného jako quasi mandatorní do souboru mandatorní výdaje.</w:t>
      </w:r>
      <w:r w:rsidR="00397267" w:rsidRPr="005A7B7B">
        <w:t xml:space="preserve"> Tento přesun se realizoval v návaznosti na zákonné ukotvení povinnosti rozpočtovat výdaje na obranu státu v minimální výši 2</w:t>
      </w:r>
      <w:r w:rsidR="005F10F2" w:rsidRPr="005A7B7B">
        <w:t> </w:t>
      </w:r>
      <w:r w:rsidR="00397267" w:rsidRPr="005A7B7B">
        <w:t xml:space="preserve">% HDP (podrobněji </w:t>
      </w:r>
      <w:r w:rsidR="00B84FE7" w:rsidRPr="005A7B7B">
        <w:t>k obranným výdajů</w:t>
      </w:r>
      <w:r w:rsidR="007172FA" w:rsidRPr="005A7B7B">
        <w:t>m</w:t>
      </w:r>
      <w:r w:rsidR="00B84FE7" w:rsidRPr="005A7B7B">
        <w:t xml:space="preserve"> </w:t>
      </w:r>
      <w:r w:rsidR="00397267" w:rsidRPr="005A7B7B">
        <w:t xml:space="preserve">viz kapitola </w:t>
      </w:r>
      <w:r w:rsidR="00860EC3" w:rsidRPr="005A7B7B">
        <w:fldChar w:fldCharType="begin"/>
      </w:r>
      <w:r w:rsidR="00860EC3" w:rsidRPr="005A7B7B">
        <w:instrText xml:space="preserve"> REF _Ref144553059 \r \h </w:instrText>
      </w:r>
      <w:r w:rsidR="00DD52A5" w:rsidRPr="005A7B7B">
        <w:instrText xml:space="preserve"> \* MERGEFORMAT </w:instrText>
      </w:r>
      <w:r w:rsidR="00860EC3" w:rsidRPr="005A7B7B">
        <w:fldChar w:fldCharType="separate"/>
      </w:r>
      <w:r w:rsidR="0010122A">
        <w:t>4.11</w:t>
      </w:r>
      <w:r w:rsidR="00860EC3" w:rsidRPr="005A7B7B">
        <w:fldChar w:fldCharType="end"/>
      </w:r>
      <w:r w:rsidR="00860EC3" w:rsidRPr="005A7B7B">
        <w:t>).</w:t>
      </w:r>
    </w:p>
    <w:p w:rsidR="00C30873" w:rsidRPr="005A7B7B" w:rsidRDefault="00C30873" w:rsidP="00F17546">
      <w:pPr>
        <w:pStyle w:val="SRTextnomal"/>
        <w:sectPr w:rsidR="00C30873" w:rsidRPr="005A7B7B" w:rsidSect="00187B06">
          <w:type w:val="continuous"/>
          <w:pgSz w:w="11906" w:h="16838" w:code="9"/>
          <w:pgMar w:top="1134" w:right="1134" w:bottom="1134" w:left="1134" w:header="709" w:footer="709" w:gutter="0"/>
          <w:cols w:num="2" w:space="397"/>
          <w:docGrid w:linePitch="360"/>
        </w:sectPr>
      </w:pPr>
    </w:p>
    <w:p w:rsidR="008E2F3F" w:rsidRPr="005A7B7B" w:rsidRDefault="008E2F3F" w:rsidP="000D440D">
      <w:pPr>
        <w:pStyle w:val="SRTitulek1"/>
      </w:pPr>
      <w:bookmarkStart w:id="96" w:name="_Toc80264006"/>
      <w:bookmarkStart w:id="97" w:name="_Toc175913933"/>
      <w:r w:rsidRPr="005A7B7B">
        <w:t xml:space="preserve">Tabulka </w:t>
      </w:r>
      <w:fldSimple w:instr=" SEQ Tabulka \* ARABIC ">
        <w:r w:rsidR="0010122A">
          <w:rPr>
            <w:noProof/>
          </w:rPr>
          <w:t>11</w:t>
        </w:r>
      </w:fldSimple>
      <w:r w:rsidRPr="005A7B7B">
        <w:t xml:space="preserve"> Podíl mandatorních výdajů celkem a quasi MV na celkových výdajích státního rozpočtu</w:t>
      </w:r>
      <w:r w:rsidR="00FF1BAA" w:rsidRPr="005A7B7B">
        <w:t xml:space="preserve"> bez EU/FM a úč. </w:t>
      </w:r>
      <w:r w:rsidR="00E52394" w:rsidRPr="005A7B7B">
        <w:t>oper. PRV</w:t>
      </w:r>
      <w:r w:rsidRPr="005A7B7B">
        <w:t xml:space="preserve"> </w:t>
      </w:r>
      <w:r w:rsidRPr="005A7B7B">
        <w:rPr>
          <w:i/>
        </w:rPr>
        <w:t>(v mld. Kč)</w:t>
      </w:r>
      <w:bookmarkEnd w:id="96"/>
      <w:bookmarkEnd w:id="97"/>
    </w:p>
    <w:p w:rsidR="00AD79B2" w:rsidRPr="006227A2" w:rsidRDefault="00375E48" w:rsidP="006227A2">
      <w:pPr>
        <w:pStyle w:val="SRTextnomal"/>
      </w:pPr>
      <w:r w:rsidRPr="006227A2">
        <w:rPr>
          <w:noProof/>
        </w:rPr>
        <w:drawing>
          <wp:inline distT="0" distB="0" distL="0" distR="0">
            <wp:extent cx="6115050" cy="13716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1371600"/>
                    </a:xfrm>
                    <a:prstGeom prst="rect">
                      <a:avLst/>
                    </a:prstGeom>
                    <a:noFill/>
                    <a:ln>
                      <a:noFill/>
                    </a:ln>
                  </pic:spPr>
                </pic:pic>
              </a:graphicData>
            </a:graphic>
          </wp:inline>
        </w:drawing>
      </w:r>
    </w:p>
    <w:p w:rsidR="00977558" w:rsidRPr="006227A2" w:rsidRDefault="00977558" w:rsidP="006227A2">
      <w:pPr>
        <w:pStyle w:val="SRTextnomal"/>
        <w:sectPr w:rsidR="00977558" w:rsidRPr="006227A2" w:rsidSect="00187B06">
          <w:type w:val="continuous"/>
          <w:pgSz w:w="11906" w:h="16838" w:code="9"/>
          <w:pgMar w:top="1134" w:right="1134" w:bottom="1134" w:left="1134" w:header="709" w:footer="709" w:gutter="0"/>
          <w:cols w:space="397"/>
          <w:docGrid w:linePitch="360"/>
        </w:sectPr>
      </w:pPr>
    </w:p>
    <w:p w:rsidR="00D72096" w:rsidRDefault="00D72096" w:rsidP="00914717">
      <w:pPr>
        <w:pStyle w:val="SRTextnomal"/>
        <w:sectPr w:rsidR="00D72096" w:rsidSect="00187B06">
          <w:type w:val="continuous"/>
          <w:pgSz w:w="11906" w:h="16838" w:code="9"/>
          <w:pgMar w:top="1134" w:right="1134" w:bottom="1134" w:left="1134" w:header="709" w:footer="709" w:gutter="0"/>
          <w:cols w:space="397"/>
          <w:docGrid w:linePitch="360"/>
        </w:sectPr>
      </w:pPr>
    </w:p>
    <w:p w:rsidR="00C30873" w:rsidRPr="005A7B7B" w:rsidRDefault="00C30873" w:rsidP="000D440D">
      <w:pPr>
        <w:pStyle w:val="SRTitulek1"/>
        <w:rPr>
          <w:i/>
        </w:rPr>
      </w:pPr>
      <w:bookmarkStart w:id="98" w:name="_Toc175913962"/>
      <w:r w:rsidRPr="005A7B7B">
        <w:lastRenderedPageBreak/>
        <w:t xml:space="preserve">Graf </w:t>
      </w:r>
      <w:fldSimple w:instr=" SEQ Graf \* ARABIC ">
        <w:r w:rsidR="0010122A">
          <w:rPr>
            <w:noProof/>
          </w:rPr>
          <w:t>8</w:t>
        </w:r>
      </w:fldSimple>
      <w:r w:rsidRPr="005A7B7B">
        <w:t xml:space="preserve"> Vývoj </w:t>
      </w:r>
      <w:r w:rsidR="00FD7D80" w:rsidRPr="005A7B7B">
        <w:t xml:space="preserve">podílu </w:t>
      </w:r>
      <w:r w:rsidR="008E2F3F" w:rsidRPr="005A7B7B">
        <w:t>mandatorních výdajů celkem a quasi MV na celkových výdajích státního rozpočtu</w:t>
      </w:r>
      <w:r w:rsidR="007E7877" w:rsidRPr="005A7B7B">
        <w:t xml:space="preserve"> bez EU/FM a úč. oper. PRV</w:t>
      </w:r>
      <w:r w:rsidR="008E2F3F" w:rsidRPr="005A7B7B">
        <w:t xml:space="preserve"> </w:t>
      </w:r>
      <w:r w:rsidR="00FD7D80" w:rsidRPr="005A7B7B">
        <w:rPr>
          <w:i/>
        </w:rPr>
        <w:t>(v %)</w:t>
      </w:r>
      <w:bookmarkEnd w:id="98"/>
    </w:p>
    <w:p w:rsidR="002E5540" w:rsidRPr="005A7B7B" w:rsidRDefault="00375E48" w:rsidP="006227A2">
      <w:pPr>
        <w:pStyle w:val="SRTextnomal"/>
      </w:pPr>
      <w:r w:rsidRPr="005A7B7B">
        <w:rPr>
          <w:noProof/>
        </w:rPr>
        <w:drawing>
          <wp:inline distT="0" distB="0" distL="0" distR="0">
            <wp:extent cx="5673090" cy="2713355"/>
            <wp:effectExtent l="0" t="0" r="0" b="0"/>
            <wp:docPr id="275" name="obráze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73090" cy="2713355"/>
                    </a:xfrm>
                    <a:prstGeom prst="rect">
                      <a:avLst/>
                    </a:prstGeom>
                    <a:noFill/>
                  </pic:spPr>
                </pic:pic>
              </a:graphicData>
            </a:graphic>
          </wp:inline>
        </w:drawing>
      </w:r>
    </w:p>
    <w:p w:rsidR="00807816" w:rsidRDefault="00807816" w:rsidP="006227A2">
      <w:pPr>
        <w:pStyle w:val="SRTextnomal"/>
        <w:sectPr w:rsidR="00807816" w:rsidSect="00187B06">
          <w:type w:val="continuous"/>
          <w:pgSz w:w="11906" w:h="16838" w:code="9"/>
          <w:pgMar w:top="1134" w:right="1134" w:bottom="1134" w:left="1134" w:header="709" w:footer="709" w:gutter="0"/>
          <w:cols w:space="397"/>
          <w:docGrid w:linePitch="360"/>
        </w:sectPr>
      </w:pPr>
    </w:p>
    <w:p w:rsidR="00977558" w:rsidRPr="005A7B7B" w:rsidRDefault="00977558" w:rsidP="007E7877">
      <w:pPr>
        <w:pStyle w:val="SRTextnomal"/>
      </w:pPr>
    </w:p>
    <w:p w:rsidR="00F60FE3" w:rsidRPr="005A7B7B" w:rsidRDefault="00F60FE3" w:rsidP="007E7877">
      <w:pPr>
        <w:pStyle w:val="SRTextnomal"/>
        <w:sectPr w:rsidR="00F60FE3" w:rsidRPr="005A7B7B" w:rsidSect="00187B06">
          <w:type w:val="continuous"/>
          <w:pgSz w:w="11906" w:h="16838" w:code="9"/>
          <w:pgMar w:top="1134" w:right="1134" w:bottom="1134" w:left="1134" w:header="709" w:footer="709" w:gutter="0"/>
          <w:cols w:space="397"/>
          <w:docGrid w:linePitch="360"/>
        </w:sectPr>
      </w:pPr>
    </w:p>
    <w:p w:rsidR="002A42F4" w:rsidRPr="005A7B7B" w:rsidRDefault="00FD7D80" w:rsidP="00543C65">
      <w:pPr>
        <w:pStyle w:val="SRTextnomal"/>
      </w:pPr>
      <w:r w:rsidRPr="005A7B7B">
        <w:t>Mandatorní výdaje vyplývající ze zákona jsou pro rok 20</w:t>
      </w:r>
      <w:r w:rsidR="00615960" w:rsidRPr="005A7B7B">
        <w:t>2</w:t>
      </w:r>
      <w:r w:rsidR="00572442" w:rsidRPr="005A7B7B">
        <w:t>5</w:t>
      </w:r>
      <w:r w:rsidRPr="005A7B7B">
        <w:t xml:space="preserve"> rozpočtovány ve výši </w:t>
      </w:r>
      <w:r w:rsidR="006E4790" w:rsidRPr="005A7B7B">
        <w:t>1</w:t>
      </w:r>
      <w:r w:rsidR="00F07DB0" w:rsidRPr="005A7B7B">
        <w:t> 371,3</w:t>
      </w:r>
      <w:r w:rsidR="006B26C4" w:rsidRPr="005A7B7B">
        <w:t xml:space="preserve"> </w:t>
      </w:r>
      <w:r w:rsidRPr="005A7B7B">
        <w:t xml:space="preserve">mld. Kč a tvoří </w:t>
      </w:r>
      <w:r w:rsidR="00F07DB0" w:rsidRPr="005A7B7B">
        <w:t>76,6</w:t>
      </w:r>
      <w:r w:rsidR="00FF7855" w:rsidRPr="005A7B7B">
        <w:t xml:space="preserve"> </w:t>
      </w:r>
      <w:r w:rsidRPr="005A7B7B">
        <w:t>% celkových mandatorních výdajů. Zbývající část předsta</w:t>
      </w:r>
      <w:r w:rsidR="00F07DB0" w:rsidRPr="005A7B7B">
        <w:t>vují ostatní mandatorní a quasi mandatorní výdaje</w:t>
      </w:r>
      <w:r w:rsidR="00543C65" w:rsidRPr="005A7B7B">
        <w:t>, které</w:t>
      </w:r>
      <w:r w:rsidRPr="005A7B7B">
        <w:t> v</w:t>
      </w:r>
      <w:r w:rsidR="005F10F2" w:rsidRPr="005A7B7B">
        <w:t> </w:t>
      </w:r>
      <w:r w:rsidR="00A33B23" w:rsidRPr="005A7B7B">
        <w:t>r</w:t>
      </w:r>
      <w:r w:rsidRPr="005A7B7B">
        <w:t>oce 20</w:t>
      </w:r>
      <w:r w:rsidR="001A0FB4" w:rsidRPr="005A7B7B">
        <w:t>2</w:t>
      </w:r>
      <w:r w:rsidR="00F07DB0" w:rsidRPr="005A7B7B">
        <w:t>5</w:t>
      </w:r>
      <w:r w:rsidR="001A0FB4" w:rsidRPr="005A7B7B">
        <w:t xml:space="preserve"> </w:t>
      </w:r>
      <w:r w:rsidRPr="005A7B7B">
        <w:t xml:space="preserve">činí </w:t>
      </w:r>
      <w:r w:rsidR="00F07DB0" w:rsidRPr="005A7B7B">
        <w:t>418,4 </w:t>
      </w:r>
      <w:r w:rsidR="00543C65" w:rsidRPr="005A7B7B">
        <w:t xml:space="preserve">mld. Kč, přičemž </w:t>
      </w:r>
      <w:r w:rsidR="002A42F4" w:rsidRPr="005A7B7B">
        <w:t>největší objem z této částky připadá na platy organizačních složek stá</w:t>
      </w:r>
      <w:r w:rsidR="002C4825" w:rsidRPr="005A7B7B">
        <w:t>tu a příspěvkových organizací</w:t>
      </w:r>
      <w:r w:rsidR="00CE6616">
        <w:t xml:space="preserve"> vč. příslušenství</w:t>
      </w:r>
      <w:r w:rsidR="004178B0" w:rsidRPr="005A7B7B">
        <w:t>. Podrobně viz tabulka č. 1 </w:t>
      </w:r>
      <w:r w:rsidR="00BC625E" w:rsidRPr="005A7B7B">
        <w:t>v příloze této Z</w:t>
      </w:r>
      <w:r w:rsidR="002A42F4" w:rsidRPr="005A7B7B">
        <w:t>právy.</w:t>
      </w:r>
    </w:p>
    <w:p w:rsidR="00FD7D80" w:rsidRPr="005A7B7B" w:rsidRDefault="00FD7D80" w:rsidP="00F17546">
      <w:pPr>
        <w:pStyle w:val="SRTextnomal"/>
        <w:sectPr w:rsidR="00FD7D80" w:rsidRPr="005A7B7B" w:rsidSect="00187B06">
          <w:type w:val="continuous"/>
          <w:pgSz w:w="11906" w:h="16838" w:code="9"/>
          <w:pgMar w:top="1134" w:right="1134" w:bottom="1134" w:left="1134" w:header="709" w:footer="709" w:gutter="0"/>
          <w:cols w:num="2" w:space="397"/>
          <w:docGrid w:linePitch="360"/>
        </w:sectPr>
      </w:pPr>
    </w:p>
    <w:p w:rsidR="00FD7D80" w:rsidRPr="005A7B7B" w:rsidRDefault="00007ACB" w:rsidP="000D440D">
      <w:pPr>
        <w:pStyle w:val="SRTitulek1"/>
      </w:pPr>
      <w:bookmarkStart w:id="99" w:name="_Toc80264007"/>
      <w:bookmarkStart w:id="100" w:name="_Toc175913934"/>
      <w:r w:rsidRPr="005A7B7B">
        <w:t xml:space="preserve">Tabulka </w:t>
      </w:r>
      <w:fldSimple w:instr=" SEQ Tabulka \* ARABIC ">
        <w:r w:rsidR="0010122A">
          <w:rPr>
            <w:noProof/>
          </w:rPr>
          <w:t>12</w:t>
        </w:r>
      </w:fldSimple>
      <w:r w:rsidRPr="005A7B7B">
        <w:t xml:space="preserve"> Mandatorní výdaje a </w:t>
      </w:r>
      <w:r w:rsidR="00ED24B0" w:rsidRPr="005A7B7B">
        <w:t>quasi MV na HDP a na příjmech státního rozpočtu</w:t>
      </w:r>
      <w:bookmarkEnd w:id="99"/>
      <w:r w:rsidR="00970F4D" w:rsidRPr="005A7B7B">
        <w:t xml:space="preserve"> bez EU</w:t>
      </w:r>
      <w:r w:rsidR="00E52394" w:rsidRPr="005A7B7B">
        <w:t xml:space="preserve">/FM a úč. oper. </w:t>
      </w:r>
      <w:r w:rsidR="00995C23" w:rsidRPr="005A7B7B">
        <w:t>PRV</w:t>
      </w:r>
      <w:bookmarkEnd w:id="100"/>
    </w:p>
    <w:p w:rsidR="00ED24B0" w:rsidRPr="005A7B7B" w:rsidRDefault="00025F1C" w:rsidP="00ED24B0">
      <w:r w:rsidRPr="00025F1C">
        <w:drawing>
          <wp:inline distT="0" distB="0" distL="0" distR="0">
            <wp:extent cx="6120130" cy="1528672"/>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130" cy="1528672"/>
                    </a:xfrm>
                    <a:prstGeom prst="rect">
                      <a:avLst/>
                    </a:prstGeom>
                    <a:noFill/>
                    <a:ln>
                      <a:noFill/>
                    </a:ln>
                  </pic:spPr>
                </pic:pic>
              </a:graphicData>
            </a:graphic>
          </wp:inline>
        </w:drawing>
      </w:r>
    </w:p>
    <w:p w:rsidR="00977558" w:rsidRPr="005A7B7B" w:rsidRDefault="00977558" w:rsidP="00ED24B0">
      <w:pPr>
        <w:sectPr w:rsidR="00977558" w:rsidRPr="005A7B7B" w:rsidSect="00187B06">
          <w:type w:val="continuous"/>
          <w:pgSz w:w="11906" w:h="16838" w:code="9"/>
          <w:pgMar w:top="1134" w:right="1134" w:bottom="1134" w:left="1134" w:header="709" w:footer="709" w:gutter="0"/>
          <w:cols w:space="397"/>
          <w:docGrid w:linePitch="360"/>
        </w:sectPr>
      </w:pPr>
    </w:p>
    <w:p w:rsidR="00807816" w:rsidRDefault="00807816" w:rsidP="00914717">
      <w:pPr>
        <w:pStyle w:val="SRTextnomal"/>
      </w:pPr>
    </w:p>
    <w:p w:rsidR="00807816" w:rsidRDefault="00807816" w:rsidP="00914717">
      <w:pPr>
        <w:pStyle w:val="SRTextnomal"/>
        <w:sectPr w:rsidR="00807816" w:rsidSect="00187B06">
          <w:type w:val="continuous"/>
          <w:pgSz w:w="11906" w:h="16838" w:code="9"/>
          <w:pgMar w:top="1134" w:right="1134" w:bottom="1134" w:left="1134" w:header="709" w:footer="709" w:gutter="0"/>
          <w:cols w:space="397"/>
          <w:docGrid w:linePitch="360"/>
        </w:sectPr>
      </w:pPr>
    </w:p>
    <w:p w:rsidR="005E5CBC" w:rsidRPr="005A7B7B" w:rsidRDefault="005E5CBC" w:rsidP="000D440D">
      <w:pPr>
        <w:pStyle w:val="SRTitulek1"/>
        <w:rPr>
          <w:i/>
        </w:rPr>
      </w:pPr>
      <w:bookmarkStart w:id="101" w:name="_Toc175913963"/>
      <w:r w:rsidRPr="005A7B7B">
        <w:lastRenderedPageBreak/>
        <w:t xml:space="preserve">Graf </w:t>
      </w:r>
      <w:fldSimple w:instr=" SEQ Graf \* ARABIC ">
        <w:r w:rsidR="0010122A">
          <w:rPr>
            <w:noProof/>
          </w:rPr>
          <w:t>9</w:t>
        </w:r>
      </w:fldSimple>
      <w:r w:rsidRPr="005A7B7B">
        <w:t xml:space="preserve"> Vývoj podílu mandatorních výdajů celkem a quasi MV na příjmech státního rozpočtu bez EU</w:t>
      </w:r>
      <w:r w:rsidR="00C008A1" w:rsidRPr="005A7B7B">
        <w:t>/FM/PRV</w:t>
      </w:r>
      <w:r w:rsidRPr="005A7B7B">
        <w:t xml:space="preserve"> </w:t>
      </w:r>
      <w:r w:rsidRPr="005A7B7B">
        <w:rPr>
          <w:i/>
        </w:rPr>
        <w:t>(v %)</w:t>
      </w:r>
      <w:bookmarkEnd w:id="101"/>
    </w:p>
    <w:p w:rsidR="00732AB7" w:rsidRPr="005A7B7B" w:rsidRDefault="00375E48" w:rsidP="00243917">
      <w:r>
        <w:rPr>
          <w:noProof/>
        </w:rPr>
        <w:drawing>
          <wp:inline distT="0" distB="0" distL="0" distR="0" wp14:anchorId="4B7DEF98">
            <wp:extent cx="6113780" cy="4127500"/>
            <wp:effectExtent l="0" t="0" r="0" b="0"/>
            <wp:docPr id="284" name="obráze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3780" cy="4127500"/>
                    </a:xfrm>
                    <a:prstGeom prst="rect">
                      <a:avLst/>
                    </a:prstGeom>
                    <a:noFill/>
                  </pic:spPr>
                </pic:pic>
              </a:graphicData>
            </a:graphic>
          </wp:inline>
        </w:drawing>
      </w:r>
    </w:p>
    <w:p w:rsidR="00807816" w:rsidRDefault="00807816" w:rsidP="00243917">
      <w:pPr>
        <w:sectPr w:rsidR="00807816" w:rsidSect="00187B06">
          <w:type w:val="continuous"/>
          <w:pgSz w:w="11906" w:h="16838" w:code="9"/>
          <w:pgMar w:top="1134" w:right="1134" w:bottom="1134" w:left="1134" w:header="709" w:footer="709" w:gutter="0"/>
          <w:cols w:space="397"/>
          <w:docGrid w:linePitch="360"/>
        </w:sectPr>
      </w:pPr>
    </w:p>
    <w:p w:rsidR="005E5CBC" w:rsidRPr="005A7B7B" w:rsidRDefault="005E5CBC" w:rsidP="00243917"/>
    <w:p w:rsidR="00977558" w:rsidRPr="005A7B7B" w:rsidRDefault="00977558" w:rsidP="00243917">
      <w:pPr>
        <w:sectPr w:rsidR="00977558" w:rsidRPr="005A7B7B" w:rsidSect="00187B06">
          <w:type w:val="continuous"/>
          <w:pgSz w:w="11906" w:h="16838" w:code="9"/>
          <w:pgMar w:top="1134" w:right="1134" w:bottom="1134" w:left="1134" w:header="709" w:footer="709" w:gutter="0"/>
          <w:cols w:space="397"/>
          <w:docGrid w:linePitch="360"/>
        </w:sectPr>
      </w:pPr>
    </w:p>
    <w:p w:rsidR="00A57316" w:rsidRPr="005A7B7B" w:rsidRDefault="00A57316" w:rsidP="00D06E57">
      <w:pPr>
        <w:pStyle w:val="SRNadpis2"/>
      </w:pPr>
      <w:bookmarkStart w:id="102" w:name="_Toc52369866"/>
      <w:bookmarkStart w:id="103" w:name="_Toc175913891"/>
      <w:r w:rsidRPr="005A7B7B">
        <w:t>Kapitálové výdaje</w:t>
      </w:r>
      <w:bookmarkEnd w:id="102"/>
      <w:bookmarkEnd w:id="103"/>
    </w:p>
    <w:p w:rsidR="00EC2EFD" w:rsidRPr="005A7B7B" w:rsidRDefault="00EC2EFD" w:rsidP="00EC2EFD">
      <w:pPr>
        <w:sectPr w:rsidR="00EC2EFD" w:rsidRPr="005A7B7B" w:rsidSect="00187B06">
          <w:type w:val="continuous"/>
          <w:pgSz w:w="11906" w:h="16838" w:code="9"/>
          <w:pgMar w:top="1134" w:right="1134" w:bottom="1134" w:left="1134" w:header="709" w:footer="709" w:gutter="0"/>
          <w:cols w:space="397"/>
          <w:docGrid w:linePitch="360"/>
        </w:sectPr>
      </w:pPr>
    </w:p>
    <w:p w:rsidR="003A3BB8" w:rsidRPr="005A7B7B" w:rsidRDefault="003A3BB8" w:rsidP="00914717">
      <w:pPr>
        <w:pStyle w:val="SRTextnomal"/>
      </w:pPr>
      <w:r w:rsidRPr="005A7B7B">
        <w:t xml:space="preserve">Kapitálové výdaje jsou pro rok 2025 rozpočtovány ve výši 250,8 mld. Kč a ve srovnání s rokem 2024 dochází k nárůstu o 66,2 mld. Kč. U kapitálových </w:t>
      </w:r>
      <w:r w:rsidRPr="00914717">
        <w:t>výdajů</w:t>
      </w:r>
      <w:r w:rsidRPr="005A7B7B">
        <w:t>, které jsou kryty příjmy z rozpočtu EU a</w:t>
      </w:r>
      <w:r w:rsidR="00253E6C">
        <w:t xml:space="preserve"> FM a při zohlednění úč. operací</w:t>
      </w:r>
      <w:r w:rsidRPr="005A7B7B">
        <w:t xml:space="preserve"> v rámci PRV, dochází k  meziročnímu nárůstu o 29,5 mld. Kč, u národního podílu kapitálových výdajů je pak rozpočtován nárůst 36,7 mld. Kč.</w:t>
      </w:r>
    </w:p>
    <w:p w:rsidR="003A3BB8" w:rsidRPr="005A7B7B" w:rsidRDefault="003A3BB8" w:rsidP="003A3BB8">
      <w:pPr>
        <w:pStyle w:val="SRTextnomal"/>
      </w:pPr>
      <w:r w:rsidRPr="005A7B7B">
        <w:t>Největší meziroční změna u národních kapitálových výdajů je u kapitoly Ministerstva dopravy, kde dochází k nárůstu o 36,6 mld. Kč vlivem posílení zejména Státního fondu dopravní infrastruktury k zajištění výstavb</w:t>
      </w:r>
      <w:r w:rsidR="00F97197" w:rsidRPr="005A7B7B">
        <w:t>y a rekonstrukce dopravní infrastruktury</w:t>
      </w:r>
      <w:r w:rsidRPr="005A7B7B">
        <w:t xml:space="preserve">. Dále dochází k nárůstu o 2,1 mld. Kč meziročně u kapitol Ministerstvo </w:t>
      </w:r>
      <w:r w:rsidR="00874080" w:rsidRPr="005A7B7B">
        <w:t>kultury a Ministerstvo</w:t>
      </w:r>
      <w:r w:rsidRPr="005A7B7B">
        <w:t xml:space="preserve"> zdravotnictví. Taktéž se zvyšují národní kapitálové výdaje o 1,9 mld. Kč meziročně u kapitoly Ministerstv</w:t>
      </w:r>
      <w:r w:rsidR="00874080" w:rsidRPr="005A7B7B">
        <w:t>o</w:t>
      </w:r>
      <w:r w:rsidRPr="005A7B7B">
        <w:t xml:space="preserve"> životního prostředí. D</w:t>
      </w:r>
      <w:r w:rsidR="00E924A6" w:rsidRPr="005A7B7B">
        <w:t xml:space="preserve">alší zvýšení lze zaznamenat u kapitoly </w:t>
      </w:r>
      <w:r w:rsidR="00874080" w:rsidRPr="005A7B7B">
        <w:t>Ministerstvo</w:t>
      </w:r>
      <w:r w:rsidRPr="005A7B7B">
        <w:t xml:space="preserve"> zemědělství</w:t>
      </w:r>
      <w:r w:rsidR="00914717">
        <w:t xml:space="preserve"> o 0,7 </w:t>
      </w:r>
      <w:r w:rsidR="00E924A6" w:rsidRPr="005A7B7B">
        <w:t>mld. Kč</w:t>
      </w:r>
      <w:r w:rsidRPr="005A7B7B">
        <w:t xml:space="preserve"> (bez PRV) a u kapitol</w:t>
      </w:r>
      <w:r w:rsidR="00874080" w:rsidRPr="005A7B7B">
        <w:t>y Ministerstvo</w:t>
      </w:r>
      <w:r w:rsidRPr="005A7B7B">
        <w:t xml:space="preserve"> zahraničních věcí</w:t>
      </w:r>
      <w:r w:rsidR="001E2472">
        <w:t xml:space="preserve"> 0,6 </w:t>
      </w:r>
      <w:r w:rsidR="00E924A6" w:rsidRPr="005A7B7B">
        <w:t>mld. Kč</w:t>
      </w:r>
      <w:r w:rsidR="00253E6C">
        <w:t xml:space="preserve"> či</w:t>
      </w:r>
      <w:r w:rsidRPr="005A7B7B">
        <w:t xml:space="preserve"> </w:t>
      </w:r>
      <w:r w:rsidR="00F459C9" w:rsidRPr="005A7B7B">
        <w:t>u Ministerstva</w:t>
      </w:r>
      <w:r w:rsidRPr="005A7B7B">
        <w:t xml:space="preserve"> průmyslu a obchodu</w:t>
      </w:r>
      <w:r w:rsidR="00253E6C">
        <w:t xml:space="preserve"> a Digitální informační agentury o</w:t>
      </w:r>
      <w:r w:rsidR="00E924A6" w:rsidRPr="005A7B7B">
        <w:t xml:space="preserve"> 0,3 mld. Kč</w:t>
      </w:r>
      <w:r w:rsidRPr="005A7B7B">
        <w:t xml:space="preserve">. </w:t>
      </w:r>
      <w:r w:rsidRPr="005A7B7B">
        <w:t xml:space="preserve">Naopak meziročně nejvíce klesají národní kapitálové výdaje u </w:t>
      </w:r>
      <w:r w:rsidR="00F459C9" w:rsidRPr="005A7B7B">
        <w:t>Ministerstva</w:t>
      </w:r>
      <w:r w:rsidRPr="005A7B7B">
        <w:t xml:space="preserve"> obrany o 8,7 mld. Kč. </w:t>
      </w:r>
    </w:p>
    <w:p w:rsidR="003A3BB8" w:rsidRPr="005A7B7B" w:rsidRDefault="003A3BB8" w:rsidP="003A3BB8">
      <w:pPr>
        <w:pStyle w:val="SRTextnomal"/>
      </w:pPr>
      <w:r w:rsidRPr="005A7B7B">
        <w:t>U kapitálových výdajů krytých EU a FM příjmy (vč. PRV) nejvíce rostou meziročně výdaje u kapitol Ministerstvo dopravy o 12,7 mld. Kč, Ministerstvo průmyslu a obchodu o 5,8 mld. Kč, Ministerstv</w:t>
      </w:r>
      <w:r w:rsidR="001E2472">
        <w:t>o práce a sociálních věcí o 5,4 </w:t>
      </w:r>
      <w:r w:rsidRPr="005A7B7B">
        <w:t xml:space="preserve">mld. Kč, Ministerstvo zdravotnictví o 4,1 mld. Kč, Ministerstvo školství, mládeže a tělovýchovy o 1,9 mld. Kč, Ministerstvo vnitra o 1,5 mld. Kč, Ministerstvo kultury o 1,1 mld. Kč. Naopak meziročně klesají výdaje kryté EU a FM příjmy u kapitoly Ministerstva pro místní rozvoj o </w:t>
      </w:r>
      <w:r w:rsidR="0046208A" w:rsidRPr="005A7B7B">
        <w:t>2</w:t>
      </w:r>
      <w:r w:rsidR="001E2472">
        <w:t> </w:t>
      </w:r>
      <w:r w:rsidRPr="005A7B7B">
        <w:t>mld. Kč či Ministerstva životního prostředí o 1,5 mld. Kč.</w:t>
      </w:r>
    </w:p>
    <w:p w:rsidR="003A3BB8" w:rsidRDefault="003A3BB8" w:rsidP="00F17546">
      <w:pPr>
        <w:pStyle w:val="SRTextnomal"/>
      </w:pPr>
      <w:r w:rsidRPr="005A7B7B">
        <w:t>Vývoj kapitálových výdajů v rozdělení na kapitálové výdaje národní a kapitálové výdaje kryté příjmy z rozpočtu EU/FM vč. operac</w:t>
      </w:r>
      <w:r w:rsidR="00483844">
        <w:t>í</w:t>
      </w:r>
      <w:r w:rsidRPr="005A7B7B">
        <w:t xml:space="preserve"> v rámci PRV dokládá následující graf. Pro rok</w:t>
      </w:r>
      <w:r w:rsidR="00483844">
        <w:t xml:space="preserve"> 2025 se rozpočtuje výše operací v rámci</w:t>
      </w:r>
      <w:r w:rsidR="001E2472">
        <w:t xml:space="preserve"> PRV 0,7 </w:t>
      </w:r>
      <w:r w:rsidRPr="005A7B7B">
        <w:t>mld. Kč (meziroční snížení o 0,4 mld. Kč).</w:t>
      </w:r>
    </w:p>
    <w:p w:rsidR="00CE6616" w:rsidRPr="005A7B7B" w:rsidRDefault="00CE6616" w:rsidP="00F17546">
      <w:pPr>
        <w:pStyle w:val="SRTextnomal"/>
      </w:pPr>
      <w:r>
        <w:t>Podrobné údaje lze najít v Tabulkové části materiálu v tabulce č. 6.</w:t>
      </w:r>
    </w:p>
    <w:p w:rsidR="00EC2EFD" w:rsidRPr="005A7B7B" w:rsidRDefault="00EC2EFD" w:rsidP="00A57316">
      <w:pPr>
        <w:sectPr w:rsidR="00EC2EFD" w:rsidRPr="005A7B7B" w:rsidSect="00187B06">
          <w:type w:val="continuous"/>
          <w:pgSz w:w="11906" w:h="16838" w:code="9"/>
          <w:pgMar w:top="1134" w:right="1134" w:bottom="1134" w:left="1134" w:header="709" w:footer="709" w:gutter="0"/>
          <w:cols w:num="2" w:space="397"/>
          <w:docGrid w:linePitch="360"/>
        </w:sectPr>
      </w:pPr>
    </w:p>
    <w:p w:rsidR="00855B55" w:rsidRPr="005A7B7B" w:rsidRDefault="00EC2EFD" w:rsidP="00855B55">
      <w:pPr>
        <w:pStyle w:val="SRTitulek1"/>
        <w:rPr>
          <w:i/>
        </w:rPr>
      </w:pPr>
      <w:bookmarkStart w:id="104" w:name="_Toc175913964"/>
      <w:r w:rsidRPr="005A7B7B">
        <w:lastRenderedPageBreak/>
        <w:t xml:space="preserve">Graf </w:t>
      </w:r>
      <w:fldSimple w:instr=" SEQ Graf \* ARABIC ">
        <w:r w:rsidR="0010122A">
          <w:rPr>
            <w:noProof/>
          </w:rPr>
          <w:t>10</w:t>
        </w:r>
      </w:fldSimple>
      <w:r w:rsidRPr="005A7B7B">
        <w:t xml:space="preserve"> Vývoj </w:t>
      </w:r>
      <w:r w:rsidR="0023300F" w:rsidRPr="005A7B7B">
        <w:t xml:space="preserve">kapitálových </w:t>
      </w:r>
      <w:r w:rsidRPr="005A7B7B">
        <w:t>výdaj</w:t>
      </w:r>
      <w:r w:rsidR="0023300F" w:rsidRPr="005A7B7B">
        <w:t>ů</w:t>
      </w:r>
      <w:r w:rsidRPr="005A7B7B">
        <w:t xml:space="preserve"> </w:t>
      </w:r>
      <w:r w:rsidRPr="005A7B7B">
        <w:rPr>
          <w:i/>
        </w:rPr>
        <w:t>(v</w:t>
      </w:r>
      <w:r w:rsidR="0023300F" w:rsidRPr="005A7B7B">
        <w:rPr>
          <w:i/>
        </w:rPr>
        <w:t xml:space="preserve"> mld. Kč)</w:t>
      </w:r>
      <w:bookmarkEnd w:id="104"/>
    </w:p>
    <w:p w:rsidR="00EC2EFD" w:rsidRDefault="00375E48" w:rsidP="00855B55">
      <w:pPr>
        <w:pStyle w:val="SRTitulek1"/>
      </w:pPr>
      <w:r w:rsidRPr="005A7B7B">
        <w:rPr>
          <w:noProof/>
        </w:rPr>
        <w:drawing>
          <wp:inline distT="0" distB="0" distL="0" distR="0">
            <wp:extent cx="5610860" cy="3700780"/>
            <wp:effectExtent l="0" t="0" r="0" b="0"/>
            <wp:docPr id="273"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0860" cy="3700780"/>
                    </a:xfrm>
                    <a:prstGeom prst="rect">
                      <a:avLst/>
                    </a:prstGeom>
                    <a:noFill/>
                  </pic:spPr>
                </pic:pic>
              </a:graphicData>
            </a:graphic>
          </wp:inline>
        </w:drawing>
      </w:r>
    </w:p>
    <w:p w:rsidR="00807816" w:rsidRDefault="00807816" w:rsidP="00855B55">
      <w:pPr>
        <w:pStyle w:val="SRTitulek1"/>
        <w:sectPr w:rsidR="00807816" w:rsidSect="00187B06">
          <w:type w:val="continuous"/>
          <w:pgSz w:w="11906" w:h="16838" w:code="9"/>
          <w:pgMar w:top="1134" w:right="1134" w:bottom="1134" w:left="1134" w:header="709" w:footer="709" w:gutter="0"/>
          <w:cols w:space="397"/>
          <w:docGrid w:linePitch="360"/>
        </w:sectPr>
      </w:pPr>
    </w:p>
    <w:p w:rsidR="00807816" w:rsidRPr="005A7B7B" w:rsidRDefault="00807816" w:rsidP="00855B55">
      <w:pPr>
        <w:pStyle w:val="SRTitulek1"/>
      </w:pPr>
    </w:p>
    <w:p w:rsidR="00977558" w:rsidRPr="005A7B7B" w:rsidRDefault="00977558" w:rsidP="00A57316">
      <w:pPr>
        <w:sectPr w:rsidR="00977558" w:rsidRPr="005A7B7B" w:rsidSect="00187B06">
          <w:type w:val="continuous"/>
          <w:pgSz w:w="11906" w:h="16838" w:code="9"/>
          <w:pgMar w:top="1134" w:right="1134" w:bottom="1134" w:left="1134" w:header="709" w:footer="709" w:gutter="0"/>
          <w:cols w:space="397"/>
          <w:docGrid w:linePitch="360"/>
        </w:sectPr>
      </w:pPr>
    </w:p>
    <w:p w:rsidR="00F70E6C" w:rsidRPr="005A7B7B" w:rsidRDefault="003F6561" w:rsidP="00D06E57">
      <w:pPr>
        <w:pStyle w:val="SRNadpis2"/>
      </w:pPr>
      <w:bookmarkStart w:id="105" w:name="_Toc52369869"/>
      <w:bookmarkStart w:id="106" w:name="_Toc175913892"/>
      <w:r w:rsidRPr="005A7B7B">
        <w:t>Výdaje na sociální transfery a státní politiku zaměstnanosti</w:t>
      </w:r>
      <w:bookmarkEnd w:id="105"/>
      <w:bookmarkEnd w:id="106"/>
    </w:p>
    <w:p w:rsidR="00F70E6C" w:rsidRPr="005A7B7B" w:rsidRDefault="00F70E6C" w:rsidP="00F70E6C">
      <w:pPr>
        <w:sectPr w:rsidR="00F70E6C" w:rsidRPr="005A7B7B" w:rsidSect="00187B06">
          <w:type w:val="continuous"/>
          <w:pgSz w:w="11906" w:h="16838" w:code="9"/>
          <w:pgMar w:top="1134" w:right="1134" w:bottom="1134" w:left="1134" w:header="709" w:footer="709" w:gutter="0"/>
          <w:cols w:space="397"/>
          <w:docGrid w:linePitch="360"/>
        </w:sectPr>
      </w:pPr>
    </w:p>
    <w:p w:rsidR="00227241" w:rsidRPr="005A7B7B" w:rsidRDefault="00227241" w:rsidP="00227241">
      <w:pPr>
        <w:pStyle w:val="SRTextnomal"/>
      </w:pPr>
      <w:r w:rsidRPr="005A7B7B">
        <w:t xml:space="preserve">Rozpočet výdajů na dlouhodobě srovnatelný soubor sociálních dávek a různých zákonem upravených sociálních příspěvků (včetně výdajů na aktivní politiku zaměstnanosti) na rok 2025 byl zpracován podle aktuálního vývoje příslušných rozpočtových položek a jejich očekávané skutečnosti v roce 2024, dále s využitím makroekonomických predikcí, zejména ve vazbě na vývoj průměrné mzdy, inflace a míry nezaměstnanosti. </w:t>
      </w:r>
    </w:p>
    <w:p w:rsidR="00227241" w:rsidRPr="005A7B7B" w:rsidRDefault="00227241" w:rsidP="00227241">
      <w:pPr>
        <w:pStyle w:val="SRTextnomal"/>
      </w:pPr>
      <w:r w:rsidRPr="005A7B7B">
        <w:t>Významný prvek v oblasti sociálních výdajů v roce 2024 představovala válka na Ukrajině a související opatření na podporu uprchlíků z Ukrajiny, která spočívala především v poskytování mimořádných dávek majících za cíl zajištění základních životních potřeb dotyčných osob.</w:t>
      </w:r>
    </w:p>
    <w:p w:rsidR="00DA48C4" w:rsidRPr="005A7B7B" w:rsidRDefault="00227241" w:rsidP="00227241">
      <w:pPr>
        <w:pStyle w:val="SRTextnomal"/>
      </w:pPr>
      <w:r w:rsidRPr="005A7B7B">
        <w:t>Rozpočet sociálních výdajů a výdajů na služby zaměstnanosti v</w:t>
      </w:r>
      <w:r w:rsidR="00CE6616">
        <w:t>e výši 1 096,1 mld. Kč je o 31</w:t>
      </w:r>
      <w:r w:rsidRPr="005A7B7B">
        <w:t xml:space="preserve"> mld. Kč vyšší </w:t>
      </w:r>
      <w:r w:rsidRPr="005A7B7B">
        <w:t>oproti schválenému rozpočtu 2024, tj. o 2,9 %. Nejvyšší meziroční přírůstek výdajů oproti schválenému rozpočtu 2024 je v oblasti dávek důchodového pojištění, a to 11,2 mld. Kč, což představuje nárůst o 1,6 %. Dále se jedná o nárůst dávek pomoci v hmotné nouzi, a to 8,4 mld. Kč, což představuje nárůst o 112 % oproti schválenému rozpočtu 2024. Další významný nárů</w:t>
      </w:r>
      <w:r w:rsidR="00CE6616">
        <w:t>st je u příspěvku na péči o 7</w:t>
      </w:r>
      <w:r w:rsidR="001E2472">
        <w:t> </w:t>
      </w:r>
      <w:r w:rsidRPr="005A7B7B">
        <w:t>mld. Kč, což je o 18,4 % více, než byl schválený rozpočet 2024. Naopak výrazný pokles oproti schválenému rozpočtu 2024 je ve výdajích na dávky nemocenského pojištění ve výši 3,6 mld. Kč. Celkové sociální výdaje a výdaje na služby zaměstnanosti lehce přesahují polovinu výdajů státního rozpočtu (bez prostředků EU a FM), tvoří 50,7 %. Strukturu výdajů podle hlavních položek ukazuje následující tabulka.</w:t>
      </w:r>
    </w:p>
    <w:p w:rsidR="000213DA" w:rsidRPr="005A7B7B" w:rsidRDefault="000213DA" w:rsidP="00F17546">
      <w:pPr>
        <w:pStyle w:val="SRTextnomal"/>
        <w:sectPr w:rsidR="000213DA" w:rsidRPr="005A7B7B" w:rsidSect="00187B06">
          <w:type w:val="continuous"/>
          <w:pgSz w:w="11906" w:h="16838" w:code="9"/>
          <w:pgMar w:top="1134" w:right="1134" w:bottom="1134" w:left="1134" w:header="709" w:footer="709" w:gutter="0"/>
          <w:cols w:num="2" w:space="397"/>
          <w:docGrid w:linePitch="360"/>
        </w:sectPr>
      </w:pPr>
    </w:p>
    <w:p w:rsidR="00F70E6C" w:rsidRPr="005A7B7B" w:rsidRDefault="00F70E6C" w:rsidP="00B10007">
      <w:pPr>
        <w:sectPr w:rsidR="00F70E6C" w:rsidRPr="005A7B7B" w:rsidSect="00187B06">
          <w:type w:val="continuous"/>
          <w:pgSz w:w="11906" w:h="16838" w:code="9"/>
          <w:pgMar w:top="1134" w:right="1134" w:bottom="1134" w:left="1134" w:header="709" w:footer="709" w:gutter="0"/>
          <w:cols w:space="397"/>
          <w:docGrid w:linePitch="360"/>
        </w:sectPr>
      </w:pPr>
    </w:p>
    <w:p w:rsidR="003F6561" w:rsidRPr="005A7B7B" w:rsidRDefault="00007ACB" w:rsidP="000D440D">
      <w:pPr>
        <w:pStyle w:val="SRTitulek1"/>
      </w:pPr>
      <w:bookmarkStart w:id="107" w:name="_Toc80264011"/>
      <w:bookmarkStart w:id="108" w:name="_Toc175913935"/>
      <w:r w:rsidRPr="005A7B7B">
        <w:lastRenderedPageBreak/>
        <w:t xml:space="preserve">Tabulka </w:t>
      </w:r>
      <w:fldSimple w:instr=" SEQ Tabulka \* ARABIC ">
        <w:r w:rsidR="0010122A">
          <w:rPr>
            <w:noProof/>
          </w:rPr>
          <w:t>13</w:t>
        </w:r>
      </w:fldSimple>
      <w:r w:rsidRPr="005A7B7B">
        <w:t xml:space="preserve"> Struktura sociálních výdajů podle jednotlivých výdajových titulů </w:t>
      </w:r>
      <w:r w:rsidRPr="005A7B7B">
        <w:rPr>
          <w:i/>
        </w:rPr>
        <w:t>(v mil. Kč)</w:t>
      </w:r>
      <w:bookmarkEnd w:id="107"/>
      <w:bookmarkEnd w:id="108"/>
    </w:p>
    <w:p w:rsidR="001F3C9A" w:rsidRDefault="00375E48" w:rsidP="00FB4692">
      <w:r w:rsidRPr="005A7B7B">
        <w:rPr>
          <w:noProof/>
        </w:rPr>
        <w:drawing>
          <wp:inline distT="0" distB="0" distL="0" distR="0">
            <wp:extent cx="9248775" cy="4924425"/>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248775" cy="4924425"/>
                    </a:xfrm>
                    <a:prstGeom prst="rect">
                      <a:avLst/>
                    </a:prstGeom>
                    <a:noFill/>
                    <a:ln>
                      <a:noFill/>
                    </a:ln>
                  </pic:spPr>
                </pic:pic>
              </a:graphicData>
            </a:graphic>
          </wp:inline>
        </w:drawing>
      </w:r>
    </w:p>
    <w:p w:rsidR="00D72096" w:rsidRDefault="00D72096" w:rsidP="00FB4692">
      <w:pPr>
        <w:sectPr w:rsidR="00D72096" w:rsidSect="00187B06">
          <w:footerReference w:type="default" r:id="rId49"/>
          <w:pgSz w:w="16838" w:h="11906" w:orient="landscape" w:code="9"/>
          <w:pgMar w:top="1134" w:right="1134" w:bottom="1134" w:left="1134" w:header="709" w:footer="709" w:gutter="0"/>
          <w:cols w:space="397"/>
          <w:docGrid w:linePitch="360"/>
        </w:sectPr>
      </w:pPr>
    </w:p>
    <w:p w:rsidR="00D72096" w:rsidRPr="005A7B7B" w:rsidRDefault="00D72096" w:rsidP="00FB4692"/>
    <w:p w:rsidR="00FB4692" w:rsidRPr="005A7B7B" w:rsidRDefault="00FB4692" w:rsidP="00FB4692">
      <w:pPr>
        <w:sectPr w:rsidR="00FB4692" w:rsidRPr="005A7B7B" w:rsidSect="00D72096">
          <w:type w:val="continuous"/>
          <w:pgSz w:w="16838" w:h="11906" w:orient="landscape" w:code="9"/>
          <w:pgMar w:top="1134" w:right="1134" w:bottom="1134" w:left="1134" w:header="709" w:footer="709" w:gutter="0"/>
          <w:cols w:space="397"/>
          <w:docGrid w:linePitch="360"/>
        </w:sectPr>
      </w:pPr>
    </w:p>
    <w:p w:rsidR="00227241" w:rsidRPr="005A7B7B" w:rsidRDefault="00227241" w:rsidP="00227241">
      <w:pPr>
        <w:pStyle w:val="SRTextnomal"/>
      </w:pPr>
      <w:r w:rsidRPr="005A7B7B">
        <w:lastRenderedPageBreak/>
        <w:t>Vývoj sociálních výdajů je ovlivněn jak autonomním vývojem, tak schválenými systémovými změnami sociální legislativy v uplynulém období a legislativními změnami, které nabývají účinnosti v průběhu roku 2024 a k 1. lednu 2025. Kromě mimořádných časově omezených legislativních úprav v souvislosti s válkou na Ukrajině se jedná především o tyto legislativní změny:</w:t>
      </w:r>
    </w:p>
    <w:p w:rsidR="00227241" w:rsidRPr="005A7B7B" w:rsidRDefault="00227241" w:rsidP="00227241">
      <w:pPr>
        <w:pStyle w:val="SROdrka1"/>
        <w:tabs>
          <w:tab w:val="num" w:pos="170"/>
        </w:tabs>
        <w:ind w:left="142" w:hanging="142"/>
      </w:pPr>
      <w:r w:rsidRPr="005A7B7B">
        <w:t>novela zákona č. 108/2006 Sb., o sociálních službách, která zvyšuje částky příspěvku na péči,</w:t>
      </w:r>
    </w:p>
    <w:p w:rsidR="00227241" w:rsidRPr="005A7B7B" w:rsidRDefault="00227241" w:rsidP="00227241">
      <w:pPr>
        <w:pStyle w:val="SROdrka1"/>
        <w:tabs>
          <w:tab w:val="num" w:pos="170"/>
        </w:tabs>
        <w:ind w:left="142" w:hanging="142"/>
      </w:pPr>
      <w:r w:rsidRPr="005A7B7B">
        <w:t>nařízení vlády č. 70/2024 Sb., které zvyšuje maximální částku příspěvku na podporu zaměstnávání osob se zdravotním postižením,</w:t>
      </w:r>
    </w:p>
    <w:p w:rsidR="00227241" w:rsidRPr="005A7B7B" w:rsidRDefault="00227241" w:rsidP="00227241">
      <w:pPr>
        <w:pStyle w:val="SROdrka1"/>
        <w:tabs>
          <w:tab w:val="num" w:pos="170"/>
        </w:tabs>
        <w:ind w:left="142" w:hanging="142"/>
      </w:pPr>
      <w:r w:rsidRPr="005A7B7B">
        <w:t>novela zákona č. 359/1999 Sb., o sociálně-právní ochraně dětí, kterou dochází k upravení dávky v souvislosti s tzv. svěřenectvím.</w:t>
      </w:r>
    </w:p>
    <w:p w:rsidR="00227241" w:rsidRPr="005A7B7B" w:rsidRDefault="00227241" w:rsidP="00227241">
      <w:pPr>
        <w:pStyle w:val="SRTextnomal"/>
      </w:pPr>
      <w:r w:rsidRPr="005A7B7B">
        <w:t xml:space="preserve">Z výdajů na sociální dávky v roce 2025 tvoří nejvyšší položku výdaje na důchodové pojištění, </w:t>
      </w:r>
      <w:r w:rsidR="000F3279">
        <w:t>a to 717,4 mld. Kč, což je 78</w:t>
      </w:r>
      <w:r w:rsidRPr="005A7B7B">
        <w:t xml:space="preserve"> % z výdajů na sociální dávky. Oproti schválenému rozpočtu 2024 se v</w:t>
      </w:r>
      <w:r w:rsidR="001E2472">
        <w:t>ýdaje na důchody zvyšují o 11,2 </w:t>
      </w:r>
      <w:r w:rsidRPr="005A7B7B">
        <w:t>mld. Kč. Zákonná valorizace důchodů je od 1. 1. 2025 u průměrného důchodu ve výši 356 Kč, což vede ke zvýšení průměrného starobního důchodu o 1,7 %. Průměrný starobní důchod by měl p</w:t>
      </w:r>
      <w:r w:rsidR="00DF52F0">
        <w:t>o 1. lednu 2025 činit zhruba 21 </w:t>
      </w:r>
      <w:r w:rsidRPr="005A7B7B">
        <w:t>078</w:t>
      </w:r>
      <w:r w:rsidR="00D342ED">
        <w:t xml:space="preserve"> Kč.</w:t>
      </w:r>
      <w:r w:rsidRPr="005A7B7B">
        <w:t xml:space="preserve"> </w:t>
      </w:r>
    </w:p>
    <w:p w:rsidR="00227241" w:rsidRPr="005A7B7B" w:rsidRDefault="00227241" w:rsidP="00227241">
      <w:pPr>
        <w:pStyle w:val="SRTextnomal"/>
      </w:pPr>
      <w:r w:rsidRPr="005A7B7B">
        <w:t xml:space="preserve">Podle zákona o důchodovém pojištění se důchody zvyšují v pravidelném termínu každoročně od ledna. Valorizace se určuje podle údajů Českého statistického úřadu. U průměrného starobního důchodu zvýšení činí částku odpovídající 100 % růstu indexu </w:t>
      </w:r>
      <w:r w:rsidR="00FF224E">
        <w:t xml:space="preserve">životních nákladů důchodců </w:t>
      </w:r>
      <w:r w:rsidRPr="005A7B7B">
        <w:t xml:space="preserve">a dále též částku odpovídající jedné </w:t>
      </w:r>
      <w:r w:rsidR="00FF224E">
        <w:t xml:space="preserve">třetině </w:t>
      </w:r>
      <w:r w:rsidRPr="005A7B7B">
        <w:t xml:space="preserve">růstu reálných mezd. </w:t>
      </w:r>
    </w:p>
    <w:p w:rsidR="00227241" w:rsidRPr="005A7B7B" w:rsidRDefault="00227241" w:rsidP="00227241">
      <w:pPr>
        <w:pStyle w:val="SRTextnomal"/>
      </w:pPr>
      <w:r w:rsidRPr="005A7B7B">
        <w:t>Další významnou položkou v sociálních výdajích jsou dávky nemocenského pojištění v částce 47,6 mld. Kč. Oproti schválenému rozpočtu 2024 se výdaje na tyto dávky snižují o 3,6 mld. Kč., tj</w:t>
      </w:r>
      <w:r w:rsidR="000F3279">
        <w:t>. o 7</w:t>
      </w:r>
      <w:r w:rsidRPr="005A7B7B">
        <w:t xml:space="preserve"> %. Úprava výdajů na příslušné dávky zohledňuje skutečné čerpání dávek v předchozích letech, předpokládaný vývoj počtu nově narozených dětí, dětí do 10 let věku a vývoj úrovně vyplácených mezd a platů. </w:t>
      </w:r>
    </w:p>
    <w:p w:rsidR="00227241" w:rsidRPr="005A7B7B" w:rsidRDefault="00227241" w:rsidP="00227241">
      <w:pPr>
        <w:pStyle w:val="SRTextnomal"/>
      </w:pPr>
      <w:r w:rsidRPr="005A7B7B">
        <w:t>Státní politika zaměstnanosti v sobě zahrnuje výdaje na pasivní politiku zaměstnanosti, což jsou podpory v nezaměstnanosti, a výdaje na aktivní politiku zaměstnanosti.</w:t>
      </w:r>
    </w:p>
    <w:p w:rsidR="00227241" w:rsidRPr="005A7B7B" w:rsidRDefault="00227241" w:rsidP="00227241">
      <w:pPr>
        <w:pStyle w:val="SRTextnomal"/>
      </w:pPr>
      <w:r w:rsidRPr="005A7B7B">
        <w:t>Výdaje na podpory v nezaměstnanost</w:t>
      </w:r>
      <w:r w:rsidR="000F3279">
        <w:t>i jsou zapracovány v částce 12</w:t>
      </w:r>
      <w:r w:rsidRPr="005A7B7B">
        <w:t xml:space="preserve"> mld. Kč. Zvýšení o 1,9 mld. Kč oproti schválenému rozpočtu 2024 je reakcí na skutečné výdaje na dávku v roce 2024 a očekávaný vývoj na trhu práce. </w:t>
      </w:r>
    </w:p>
    <w:p w:rsidR="00227241" w:rsidRPr="005A7B7B" w:rsidRDefault="00227241" w:rsidP="00227241">
      <w:pPr>
        <w:pStyle w:val="SRTextnomal"/>
      </w:pPr>
      <w:r w:rsidRPr="005A7B7B">
        <w:t xml:space="preserve">Výdaje na aktivní politiku zaměstnanosti (bez prostředků EU a FM) jsou schváleny ve výši 0,5 mld. Kč, v této částce jsou zahrnuty prostředky např. na rekvalifikace, na veřejně prospěšné práce, na společensky účelná pracovní místa, na podporu zaměstnanosti zdravotně postižených občanů, na investiční pobídky a na cílené programy k řešení zaměstnanosti. </w:t>
      </w:r>
    </w:p>
    <w:p w:rsidR="00227241" w:rsidRPr="005A7B7B" w:rsidRDefault="00227241" w:rsidP="00227241">
      <w:pPr>
        <w:pStyle w:val="SRTextnomal"/>
      </w:pPr>
      <w:r w:rsidRPr="005A7B7B">
        <w:t xml:space="preserve">Mezi nepojistné sociální dávkové systémy patří dávky státní sociální podpory a dávky pěstounské péče, dávky </w:t>
      </w:r>
      <w:r w:rsidRPr="005A7B7B">
        <w:t xml:space="preserve">pomoci v hmotné nouzi, dávky pro zdravotně postižené občany, náhradní výživné pro nezaopatřené děti a též příspěvek na péči, který je vyplácen podle zákona o sociálních službách. Výplatu všech těchto dávek zajišťuje Úřad práce České republiky a jeho organizační složky. </w:t>
      </w:r>
    </w:p>
    <w:p w:rsidR="00227241" w:rsidRPr="005A7B7B" w:rsidRDefault="00227241" w:rsidP="00227241">
      <w:pPr>
        <w:pStyle w:val="SRTextnomal"/>
      </w:pPr>
      <w:r w:rsidRPr="005A7B7B">
        <w:t xml:space="preserve">Na dávky státní sociální podpory a pěstounské péče je vyčleněna v roce 2025 celková částka ve výši 62,2 mld. Kč, která již obsahuje předpokládané výdaje na změny rodičovského příspěvku. Nicméně zejména v souvislosti s vývojem čerpání příspěvku na bydlení a </w:t>
      </w:r>
      <w:r w:rsidR="000F3279">
        <w:t xml:space="preserve">s </w:t>
      </w:r>
      <w:r w:rsidRPr="005A7B7B">
        <w:t>legislativním</w:t>
      </w:r>
      <w:r w:rsidR="000F3279">
        <w:t>i změnami</w:t>
      </w:r>
      <w:r w:rsidRPr="005A7B7B">
        <w:t xml:space="preserve"> v oblasti náhradní péče o děti bylo nutné navýšit výdaje oproti schválenému rozpočtu 2024 o 0,8 mld. Kč, tj. o 1,3 %. Na dávky pomoci v hmotné nouzi je vyčleněna částka 15,9 mld. Kč. Oproti schválenému rozpočtu 2024 jde o navýšení o 8,4 mld. Kč, jelikož v době přípravy rozpočtu 2024 byla schválena výplata humanitární dávky pouze pro první čtvrtletí daného roku a nyní je schválena pro celý rok 2025.</w:t>
      </w:r>
    </w:p>
    <w:p w:rsidR="00227241" w:rsidRPr="005A7B7B" w:rsidRDefault="00227241" w:rsidP="00227241">
      <w:pPr>
        <w:pStyle w:val="SRTextnomal"/>
      </w:pPr>
      <w:r w:rsidRPr="005A7B7B">
        <w:t>Výdaje na příspěvek na péči jsou schváleny</w:t>
      </w:r>
      <w:r w:rsidR="000F3279">
        <w:t xml:space="preserve"> ve výši 45</w:t>
      </w:r>
      <w:r w:rsidRPr="005A7B7B">
        <w:t> ml</w:t>
      </w:r>
      <w:r w:rsidR="000F3279">
        <w:t>d. Kč. Jedná se o navýšení o 7</w:t>
      </w:r>
      <w:r w:rsidRPr="005A7B7B">
        <w:t xml:space="preserve"> mld. Kč v porovnání se schváleným rozpočtem 2024, a to kvůli navýšení částek příspěvku od 1. 7. 2024. </w:t>
      </w:r>
    </w:p>
    <w:p w:rsidR="00227241" w:rsidRPr="005A7B7B" w:rsidRDefault="00227241" w:rsidP="00227241">
      <w:pPr>
        <w:pStyle w:val="SRTextnomal"/>
      </w:pPr>
      <w:r w:rsidRPr="005A7B7B">
        <w:t>Výdaje na dávky pro zdravotně postižené o</w:t>
      </w:r>
      <w:r w:rsidR="000F3279">
        <w:t>bčany se rozpočtují v částce 4</w:t>
      </w:r>
      <w:r w:rsidRPr="005A7B7B">
        <w:t xml:space="preserve"> mld. Kč, což by mělo pokrýt zákonné nároky zdravotně postižených, které vyplývají ze zákona č. 329/2011 Sb., o poskytování dávek osobám se zdravotním postižením.</w:t>
      </w:r>
    </w:p>
    <w:p w:rsidR="00227241" w:rsidRPr="005A7B7B" w:rsidRDefault="00227241" w:rsidP="00227241">
      <w:pPr>
        <w:pStyle w:val="SRTextnomal"/>
      </w:pPr>
      <w:r w:rsidRPr="005A7B7B">
        <w:t>Výdaje na náhradní výživné pro nezaopatřené děti jsou rozpočtovány v částce 0,27 mld. Kč, což odpovídá předpokládanému vývoji čerpání.</w:t>
      </w:r>
    </w:p>
    <w:p w:rsidR="00227241" w:rsidRPr="005A7B7B" w:rsidRDefault="00227241" w:rsidP="00227241">
      <w:pPr>
        <w:pStyle w:val="SRTextnomal"/>
      </w:pPr>
      <w:r w:rsidRPr="005A7B7B">
        <w:t>Výdaje na zvláštní dávky pro ozbrojené složky jsou pro rok 2024 narozpočtovány ve</w:t>
      </w:r>
      <w:r w:rsidR="000F3279">
        <w:t xml:space="preserve"> výši 15,8 mld. Kč, což je o 1</w:t>
      </w:r>
      <w:r w:rsidRPr="005A7B7B">
        <w:t xml:space="preserve"> mld. Kč více, než byl schválený rozpočet 2024. U většiny dotyčných dávek je totiž legislativně zakotven jejich růst v návaznosti na růst důchodů. </w:t>
      </w:r>
    </w:p>
    <w:p w:rsidR="00227241" w:rsidRPr="005A7B7B" w:rsidRDefault="00227241" w:rsidP="00227241">
      <w:pPr>
        <w:pStyle w:val="SRTextnomal"/>
      </w:pPr>
      <w:r w:rsidRPr="005A7B7B">
        <w:t>Výdaje na platbu pojistného na veřejné zdravotní pojištění ze státního rozpočtu za osoby, za které je plátcem stát, jsou rozpočtovány ve výši 154,6 mld. Kč. Navýšení oproti schválenému rozpočtu</w:t>
      </w:r>
      <w:r w:rsidR="00DF52F0">
        <w:t xml:space="preserve"> 2024 činí 3,6 mld. Kč, tj. 2,4 </w:t>
      </w:r>
      <w:r w:rsidRPr="005A7B7B">
        <w:t>%. Meziroční navýšení je způsobeno zákonnou automatickou valorizací vyměřovacího základu podle růstu spotřebitelských cen. Vyměřovací základ se navýší z částky z 15 440 Kč na 15 749 Kč za kalendářní měsíc. To představuje zvýšení měsíční platby za jednoho pojištěnce z částky 2 085 Kč na 2 127 Kč.</w:t>
      </w:r>
    </w:p>
    <w:p w:rsidR="004B7A99" w:rsidRPr="005A7B7B" w:rsidRDefault="00227241" w:rsidP="00227241">
      <w:pPr>
        <w:pStyle w:val="SRTextnomal"/>
      </w:pPr>
      <w:r w:rsidRPr="005A7B7B">
        <w:t>Součástí výdajů státního rozpočtu jsou i výdaje na dotace na sociální služby, kterými stát přispívá na provoz zařízení sociálních služeb. Jedná se o nenárokový výdaj, který byl poprvé v této podobě poskytnut v roce 2007 v souvislosti s účinností nového zákona o sociálních službách k 1. lednu 2007. Pro rok 2025 je narozpočtována na dotace na sociální služby částka ve výši 26,5 mld. Kč. Od roku 2007, kdy byly výdaje na dotace</w:t>
      </w:r>
      <w:r w:rsidR="00914717">
        <w:t xml:space="preserve"> na sociální služby ve výši 7,1 </w:t>
      </w:r>
      <w:r w:rsidRPr="005A7B7B">
        <w:t xml:space="preserve">mld. Kč, dochází k jejich postupnému navyšování. Další vývoj výše výdajů na dotace na sociální služby je podmíněn novelou zákona č. 108/2006 Sb., o sociálních </w:t>
      </w:r>
      <w:r w:rsidR="00483844">
        <w:lastRenderedPageBreak/>
        <w:t>službách, kterou připravuje Ministerstvo práce a sociálních věcí</w:t>
      </w:r>
      <w:r w:rsidRPr="005A7B7B">
        <w:t>.</w:t>
      </w:r>
    </w:p>
    <w:p w:rsidR="00DA6D4A" w:rsidRPr="005A7B7B" w:rsidRDefault="00DA6D4A" w:rsidP="00F17546">
      <w:pPr>
        <w:pStyle w:val="SRTextnomal"/>
        <w:sectPr w:rsidR="00DA6D4A" w:rsidRPr="005A7B7B" w:rsidSect="00187B06">
          <w:footerReference w:type="default" r:id="rId50"/>
          <w:pgSz w:w="11906" w:h="16838" w:code="9"/>
          <w:pgMar w:top="1134" w:right="1134" w:bottom="1134" w:left="1134" w:header="709" w:footer="709" w:gutter="0"/>
          <w:cols w:num="2" w:space="397"/>
          <w:docGrid w:linePitch="360"/>
        </w:sectPr>
      </w:pPr>
    </w:p>
    <w:p w:rsidR="003F6561" w:rsidRPr="005A7B7B" w:rsidRDefault="003F6561" w:rsidP="00D06E57">
      <w:pPr>
        <w:pStyle w:val="SRNadpis2"/>
      </w:pPr>
      <w:bookmarkStart w:id="109" w:name="_Toc52369870"/>
      <w:bookmarkStart w:id="110" w:name="_Ref156812165"/>
      <w:bookmarkStart w:id="111" w:name="_Toc175913893"/>
      <w:r w:rsidRPr="005A7B7B">
        <w:t>Výdaje na platy zaměstnanců a ostatní platby za provedenou práci</w:t>
      </w:r>
      <w:bookmarkEnd w:id="109"/>
      <w:bookmarkEnd w:id="110"/>
      <w:bookmarkEnd w:id="111"/>
    </w:p>
    <w:p w:rsidR="00F341CC" w:rsidRPr="005A7B7B" w:rsidRDefault="00F341CC" w:rsidP="00D06E57">
      <w:pPr>
        <w:pStyle w:val="SRNadpis2"/>
        <w:sectPr w:rsidR="00F341CC" w:rsidRPr="005A7B7B" w:rsidSect="00187B06">
          <w:type w:val="continuous"/>
          <w:pgSz w:w="11906" w:h="16838" w:code="9"/>
          <w:pgMar w:top="1134" w:right="1134" w:bottom="1134" w:left="1134" w:header="709" w:footer="709" w:gutter="0"/>
          <w:cols w:space="397"/>
          <w:docGrid w:linePitch="360"/>
        </w:sectPr>
      </w:pPr>
    </w:p>
    <w:p w:rsidR="003C2F43" w:rsidRPr="005A7B7B" w:rsidRDefault="003C2F43" w:rsidP="003C2F43">
      <w:pPr>
        <w:pStyle w:val="SRTextnomal"/>
      </w:pPr>
      <w:bookmarkStart w:id="112" w:name="_Toc80264012"/>
      <w:r w:rsidRPr="005A7B7B">
        <w:t>Výdaje na platy a ostatní platby za provedenou práci rozpočtované v organizačních složkách státu tvoří významnou součást veřejné spotřeby. Spolu s náklady na platy a ostatními osobními náklady příspěvkových organizací jsou pro rok 2025 rozpočtovány v objemu 277,8 mld. Kč. Proti schválenému rozpočtu 2024 dochází k jejich zvýšení o 11,25 mld. Kč.</w:t>
      </w:r>
    </w:p>
    <w:p w:rsidR="003C2F43" w:rsidRPr="005A7B7B" w:rsidRDefault="003C2F43" w:rsidP="003C2F43">
      <w:pPr>
        <w:pStyle w:val="SRTextnomal"/>
      </w:pPr>
      <w:r w:rsidRPr="005A7B7B">
        <w:t xml:space="preserve">V rozpočtovaných částkách jsou zahrnuty výdaje na platy a ostatní platby za provedenou práci těch organizačních složek státu a příspěvkových organizací, ve kterých jsou počty míst a výdělková úroveň regulovány vládou. Nejsou v ní tedy zahrnuty výdaje na platy zaměstnanců vysokých, církevních a soukromých škol, veřejných výzkumných institucí a zdravotnických zařízení, jejichž financování je napojeno na síť zdravotních pojišťoven, ani výdaje na platy zaměstnanců, jejichž financování je zabezpečováno na vrub rozpočtů územních samosprávných celků, ani </w:t>
      </w:r>
      <w:r w:rsidRPr="005A7B7B">
        <w:t xml:space="preserve">výdaje organizací, které své zaměstnance odměňují podle platových předpisů platných pro zaměstnavatele v podnikatelské sféře. </w:t>
      </w:r>
    </w:p>
    <w:p w:rsidR="003C2F43" w:rsidRPr="005A7B7B" w:rsidRDefault="003C2F43" w:rsidP="003C2F43">
      <w:pPr>
        <w:pStyle w:val="SRTextnomal"/>
      </w:pPr>
      <w:r w:rsidRPr="005A7B7B">
        <w:t xml:space="preserve">V důsledku všech vlivů, které jsou níže v kapitole popsány, se celkové výdaje na platy a ostatní platby za provedenou práci (vč. nákladů na platy a ostatní osobní náklady příspěvkových organizací) zvyšují oproti schválenému rozpočtu na rok 2024 o 4,2 %, celkový počet míst se pak zvyšuje o 0,2 %. Celkový průměrný plat (bez zahrnutí finančně nepokrytých míst) se pak meziročně navyšuje o 3,7 %. </w:t>
      </w:r>
    </w:p>
    <w:p w:rsidR="0027160D" w:rsidRPr="005A7B7B" w:rsidRDefault="003C2F43" w:rsidP="003C2F43">
      <w:pPr>
        <w:pStyle w:val="SRTextnomal"/>
      </w:pPr>
      <w:r>
        <w:t>Dále v</w:t>
      </w:r>
      <w:r w:rsidRPr="005A7B7B">
        <w:t xml:space="preserve">láda schválila od roku 2025 navýšení objemu prostředků na platy ve výši 5 % (vyjma učitelů, jejichž navýšení je již zohledněno). Z důvodu rozsáhlosti prací budou dopady do objemů prostředků na platy </w:t>
      </w:r>
      <w:r w:rsidRPr="009A5C96">
        <w:t>a průměrného platu</w:t>
      </w:r>
      <w:r>
        <w:t xml:space="preserve"> </w:t>
      </w:r>
      <w:r w:rsidRPr="005A7B7B">
        <w:t>jednotlivých kapitol zapracovány a promítnuty v další fázi rozpočtových prací.</w:t>
      </w:r>
    </w:p>
    <w:p w:rsidR="00B71CBC" w:rsidRPr="005A7B7B" w:rsidRDefault="00B71CBC" w:rsidP="000D440D">
      <w:pPr>
        <w:pStyle w:val="SRTitulek1"/>
        <w:sectPr w:rsidR="00B71CBC" w:rsidRPr="005A7B7B" w:rsidSect="00187B06">
          <w:type w:val="continuous"/>
          <w:pgSz w:w="11906" w:h="16838" w:code="9"/>
          <w:pgMar w:top="1134" w:right="1134" w:bottom="1134" w:left="1134" w:header="709" w:footer="709" w:gutter="0"/>
          <w:cols w:num="2" w:space="397"/>
          <w:docGrid w:linePitch="360"/>
        </w:sectPr>
      </w:pPr>
    </w:p>
    <w:p w:rsidR="00A45835" w:rsidRPr="005A7B7B" w:rsidRDefault="00A45835" w:rsidP="000D440D">
      <w:pPr>
        <w:pStyle w:val="SRTitulek1"/>
      </w:pPr>
      <w:bookmarkStart w:id="113" w:name="_Toc175913936"/>
      <w:r w:rsidRPr="005A7B7B">
        <w:t xml:space="preserve">Tabulka </w:t>
      </w:r>
      <w:fldSimple w:instr=" SEQ Tabulka \* ARABIC ">
        <w:r w:rsidR="0010122A">
          <w:rPr>
            <w:noProof/>
          </w:rPr>
          <w:t>14</w:t>
        </w:r>
      </w:fldSimple>
      <w:r w:rsidRPr="005A7B7B">
        <w:t xml:space="preserve"> Vývoj objemu prostředků na platy a ostatní platby za provedenou práci, počtu míst a průměrných platů v OSS a PO</w:t>
      </w:r>
      <w:bookmarkEnd w:id="112"/>
      <w:bookmarkEnd w:id="113"/>
    </w:p>
    <w:p w:rsidR="000547F0" w:rsidRDefault="00375E48" w:rsidP="00F17546">
      <w:pPr>
        <w:pStyle w:val="SRTextnomal"/>
      </w:pPr>
      <w:r w:rsidRPr="005A7B7B">
        <w:rPr>
          <w:noProof/>
        </w:rPr>
        <w:drawing>
          <wp:inline distT="0" distB="0" distL="0" distR="0">
            <wp:extent cx="6115050" cy="942975"/>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942975"/>
                    </a:xfrm>
                    <a:prstGeom prst="rect">
                      <a:avLst/>
                    </a:prstGeom>
                    <a:noFill/>
                    <a:ln>
                      <a:noFill/>
                    </a:ln>
                  </pic:spPr>
                </pic:pic>
              </a:graphicData>
            </a:graphic>
          </wp:inline>
        </w:drawing>
      </w:r>
    </w:p>
    <w:p w:rsidR="00D72096" w:rsidRDefault="00D72096" w:rsidP="00F17546">
      <w:pPr>
        <w:pStyle w:val="SRTextnomal"/>
        <w:sectPr w:rsidR="00D72096" w:rsidSect="00187B06">
          <w:type w:val="continuous"/>
          <w:pgSz w:w="11906" w:h="16838" w:code="9"/>
          <w:pgMar w:top="1134" w:right="1134" w:bottom="1134" w:left="1134" w:header="709" w:footer="709" w:gutter="0"/>
          <w:cols w:space="397"/>
          <w:docGrid w:linePitch="360"/>
        </w:sectPr>
      </w:pPr>
    </w:p>
    <w:p w:rsidR="00D72096" w:rsidRPr="005A7B7B" w:rsidRDefault="00D72096" w:rsidP="00F17546">
      <w:pPr>
        <w:pStyle w:val="SRTextnomal"/>
      </w:pPr>
    </w:p>
    <w:p w:rsidR="003F4AB2" w:rsidRPr="005A7B7B" w:rsidRDefault="003F4AB2" w:rsidP="00F17546">
      <w:pPr>
        <w:pStyle w:val="SRTextnomal"/>
        <w:sectPr w:rsidR="003F4AB2" w:rsidRPr="005A7B7B" w:rsidSect="00187B06">
          <w:type w:val="continuous"/>
          <w:pgSz w:w="11906" w:h="16838" w:code="9"/>
          <w:pgMar w:top="1134" w:right="1134" w:bottom="1134" w:left="1134" w:header="709" w:footer="709" w:gutter="0"/>
          <w:cols w:space="397"/>
          <w:docGrid w:linePitch="360"/>
        </w:sectPr>
      </w:pPr>
    </w:p>
    <w:p w:rsidR="00A45835" w:rsidRPr="005A7B7B" w:rsidRDefault="00A45835" w:rsidP="000D440D">
      <w:pPr>
        <w:pStyle w:val="SRTitulek1"/>
      </w:pPr>
      <w:bookmarkStart w:id="114" w:name="_Toc80264013"/>
      <w:bookmarkStart w:id="115" w:name="_Toc175913937"/>
      <w:r w:rsidRPr="005A7B7B">
        <w:t xml:space="preserve">Tabulka </w:t>
      </w:r>
      <w:fldSimple w:instr=" SEQ Tabulka \* ARABIC ">
        <w:r w:rsidR="0010122A">
          <w:rPr>
            <w:noProof/>
          </w:rPr>
          <w:t>15</w:t>
        </w:r>
      </w:fldSimple>
      <w:r w:rsidRPr="005A7B7B">
        <w:t xml:space="preserve"> Prostředky na platy a ostatní platby za provedenou práci v OSS a PO</w:t>
      </w:r>
      <w:bookmarkEnd w:id="114"/>
      <w:bookmarkEnd w:id="115"/>
    </w:p>
    <w:p w:rsidR="008F2964" w:rsidRPr="005A7B7B" w:rsidRDefault="00375E48" w:rsidP="00914717">
      <w:pPr>
        <w:pStyle w:val="SRTextnomal"/>
      </w:pPr>
      <w:r w:rsidRPr="005A7B7B">
        <w:rPr>
          <w:noProof/>
        </w:rPr>
        <w:drawing>
          <wp:inline distT="0" distB="0" distL="0" distR="0">
            <wp:extent cx="5962650" cy="30289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62650" cy="3028950"/>
                    </a:xfrm>
                    <a:prstGeom prst="rect">
                      <a:avLst/>
                    </a:prstGeom>
                    <a:noFill/>
                    <a:ln>
                      <a:noFill/>
                    </a:ln>
                  </pic:spPr>
                </pic:pic>
              </a:graphicData>
            </a:graphic>
          </wp:inline>
        </w:drawing>
      </w:r>
    </w:p>
    <w:p w:rsidR="003F4AB2" w:rsidRPr="005A7B7B" w:rsidRDefault="003F4AB2" w:rsidP="00914717">
      <w:pPr>
        <w:pStyle w:val="SRTextnomal"/>
        <w:sectPr w:rsidR="003F4AB2" w:rsidRPr="005A7B7B" w:rsidSect="00187B06">
          <w:type w:val="continuous"/>
          <w:pgSz w:w="11906" w:h="16838" w:code="9"/>
          <w:pgMar w:top="1134" w:right="1134" w:bottom="1134" w:left="1134" w:header="709" w:footer="709" w:gutter="0"/>
          <w:cols w:space="397"/>
          <w:docGrid w:linePitch="360"/>
        </w:sectPr>
      </w:pPr>
    </w:p>
    <w:p w:rsidR="00A45835" w:rsidRPr="005A7B7B" w:rsidRDefault="00A45835" w:rsidP="000D440D">
      <w:pPr>
        <w:pStyle w:val="SRTitulek1"/>
      </w:pPr>
      <w:bookmarkStart w:id="116" w:name="_Toc80264014"/>
      <w:bookmarkStart w:id="117" w:name="_Toc175913938"/>
      <w:r w:rsidRPr="005A7B7B">
        <w:lastRenderedPageBreak/>
        <w:t xml:space="preserve">Tabulka </w:t>
      </w:r>
      <w:fldSimple w:instr=" SEQ Tabulka \* ARABIC ">
        <w:r w:rsidR="0010122A">
          <w:rPr>
            <w:noProof/>
          </w:rPr>
          <w:t>16</w:t>
        </w:r>
      </w:fldSimple>
      <w:r w:rsidRPr="005A7B7B">
        <w:t xml:space="preserve"> Počty míst zam</w:t>
      </w:r>
      <w:r w:rsidR="007738E8" w:rsidRPr="005A7B7B">
        <w:t xml:space="preserve">ěstnanců, příslušníků, vojáků, </w:t>
      </w:r>
      <w:r w:rsidRPr="005A7B7B">
        <w:t>státních zástupců a odvozených v OSS a PO</w:t>
      </w:r>
      <w:bookmarkEnd w:id="116"/>
      <w:bookmarkEnd w:id="117"/>
    </w:p>
    <w:p w:rsidR="00A45835" w:rsidRDefault="00375E48" w:rsidP="00914717">
      <w:pPr>
        <w:pStyle w:val="SRTextnomal"/>
      </w:pPr>
      <w:r w:rsidRPr="005A7B7B">
        <w:rPr>
          <w:noProof/>
        </w:rPr>
        <w:drawing>
          <wp:inline distT="0" distB="0" distL="0" distR="0">
            <wp:extent cx="6115050" cy="298132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rsidR="00D72096" w:rsidRDefault="00D72096" w:rsidP="00914717">
      <w:pPr>
        <w:pStyle w:val="SRTextnomal"/>
        <w:sectPr w:rsidR="00D72096" w:rsidSect="00187B06">
          <w:type w:val="continuous"/>
          <w:pgSz w:w="11906" w:h="16838" w:code="9"/>
          <w:pgMar w:top="1134" w:right="1134" w:bottom="1134" w:left="1134" w:header="709" w:footer="709" w:gutter="0"/>
          <w:cols w:space="397"/>
          <w:docGrid w:linePitch="360"/>
        </w:sectPr>
      </w:pPr>
    </w:p>
    <w:p w:rsidR="00D72096" w:rsidRPr="005A7B7B" w:rsidRDefault="00D72096" w:rsidP="00A45835"/>
    <w:p w:rsidR="003F4AB2" w:rsidRPr="005A7B7B" w:rsidRDefault="003F4AB2" w:rsidP="00A45835">
      <w:pPr>
        <w:sectPr w:rsidR="003F4AB2" w:rsidRPr="005A7B7B" w:rsidSect="00187B06">
          <w:type w:val="continuous"/>
          <w:pgSz w:w="11906" w:h="16838" w:code="9"/>
          <w:pgMar w:top="1134" w:right="1134" w:bottom="1134" w:left="1134" w:header="709" w:footer="709" w:gutter="0"/>
          <w:cols w:space="397"/>
          <w:docGrid w:linePitch="360"/>
        </w:sectPr>
      </w:pPr>
    </w:p>
    <w:p w:rsidR="00567669" w:rsidRPr="005A7B7B" w:rsidRDefault="00567669" w:rsidP="000D440D">
      <w:pPr>
        <w:pStyle w:val="SRTitulek1"/>
      </w:pPr>
      <w:bookmarkStart w:id="118" w:name="_Toc175913965"/>
      <w:r w:rsidRPr="005A7B7B">
        <w:t xml:space="preserve">Graf </w:t>
      </w:r>
      <w:fldSimple w:instr=" SEQ Graf \* ARABIC ">
        <w:r w:rsidR="0010122A">
          <w:rPr>
            <w:noProof/>
          </w:rPr>
          <w:t>11</w:t>
        </w:r>
      </w:fldSimple>
      <w:r w:rsidRPr="005A7B7B">
        <w:t xml:space="preserve"> Vývoj poč</w:t>
      </w:r>
      <w:r w:rsidR="00E41F09" w:rsidRPr="005A7B7B">
        <w:t>t</w:t>
      </w:r>
      <w:r w:rsidR="006C6D45" w:rsidRPr="005A7B7B">
        <w:t>u míst v OSS a PO mezi léty 2020 až 2025</w:t>
      </w:r>
      <w:r w:rsidR="00E41F09" w:rsidRPr="005A7B7B">
        <w:t xml:space="preserve"> </w:t>
      </w:r>
      <w:r w:rsidRPr="005A7B7B">
        <w:t>(rozpočet a skutečnost)</w:t>
      </w:r>
      <w:bookmarkEnd w:id="118"/>
      <w:r w:rsidRPr="005A7B7B">
        <w:t xml:space="preserve"> </w:t>
      </w:r>
    </w:p>
    <w:p w:rsidR="00567669" w:rsidRPr="005A7B7B" w:rsidRDefault="00375E48" w:rsidP="00F17546">
      <w:pPr>
        <w:pStyle w:val="SRTextnomal"/>
      </w:pPr>
      <w:r w:rsidRPr="005A7B7B">
        <w:rPr>
          <w:noProof/>
        </w:rPr>
        <w:drawing>
          <wp:inline distT="0" distB="0" distL="0" distR="0">
            <wp:extent cx="5856605" cy="3234055"/>
            <wp:effectExtent l="0" t="0" r="0" b="0"/>
            <wp:docPr id="263"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56605" cy="3234055"/>
                    </a:xfrm>
                    <a:prstGeom prst="rect">
                      <a:avLst/>
                    </a:prstGeom>
                    <a:noFill/>
                  </pic:spPr>
                </pic:pic>
              </a:graphicData>
            </a:graphic>
          </wp:inline>
        </w:drawing>
      </w:r>
    </w:p>
    <w:p w:rsidR="00D72096" w:rsidRDefault="00D72096" w:rsidP="00F17546">
      <w:pPr>
        <w:pStyle w:val="SRTextnomal"/>
        <w:sectPr w:rsidR="00D72096" w:rsidSect="00187B06">
          <w:type w:val="continuous"/>
          <w:pgSz w:w="11906" w:h="16838" w:code="9"/>
          <w:pgMar w:top="1134" w:right="1134" w:bottom="1134" w:left="1134" w:header="709" w:footer="709" w:gutter="0"/>
          <w:cols w:space="397"/>
          <w:docGrid w:linePitch="360"/>
        </w:sectPr>
      </w:pPr>
    </w:p>
    <w:p w:rsidR="003F4AB2" w:rsidRDefault="003F4AB2" w:rsidP="00F17546">
      <w:pPr>
        <w:pStyle w:val="SRTextnomal"/>
      </w:pPr>
    </w:p>
    <w:p w:rsidR="00D72096" w:rsidRPr="005A7B7B" w:rsidRDefault="00D72096" w:rsidP="00F17546">
      <w:pPr>
        <w:pStyle w:val="SRTextnomal"/>
        <w:sectPr w:rsidR="00D72096" w:rsidRPr="005A7B7B" w:rsidSect="00187B06">
          <w:type w:val="continuous"/>
          <w:pgSz w:w="11906" w:h="16838" w:code="9"/>
          <w:pgMar w:top="1134" w:right="1134" w:bottom="1134" w:left="1134" w:header="709" w:footer="709" w:gutter="0"/>
          <w:cols w:space="397"/>
          <w:docGrid w:linePitch="360"/>
        </w:sectPr>
      </w:pPr>
    </w:p>
    <w:p w:rsidR="008A2DFC" w:rsidRPr="005A7B7B" w:rsidRDefault="008A2DFC" w:rsidP="000D440D">
      <w:pPr>
        <w:pStyle w:val="SRTitulek1"/>
      </w:pPr>
      <w:bookmarkStart w:id="119" w:name="_Toc175913966"/>
      <w:r w:rsidRPr="005A7B7B">
        <w:lastRenderedPageBreak/>
        <w:t xml:space="preserve">Graf </w:t>
      </w:r>
      <w:fldSimple w:instr=" SEQ Graf \* ARABIC ">
        <w:r w:rsidR="0010122A">
          <w:rPr>
            <w:noProof/>
          </w:rPr>
          <w:t>12</w:t>
        </w:r>
      </w:fldSimple>
      <w:r w:rsidRPr="005A7B7B">
        <w:t xml:space="preserve"> Vývoj počtu míst v regionálním školství m</w:t>
      </w:r>
      <w:r w:rsidR="006C6D45" w:rsidRPr="005A7B7B">
        <w:t>ezi léty 2020 a 2025</w:t>
      </w:r>
      <w:r w:rsidRPr="005A7B7B">
        <w:t xml:space="preserve"> (rozpočet a skutečnost)</w:t>
      </w:r>
      <w:bookmarkEnd w:id="119"/>
      <w:r w:rsidRPr="005A7B7B">
        <w:t xml:space="preserve"> </w:t>
      </w:r>
    </w:p>
    <w:p w:rsidR="008A2DFC" w:rsidRDefault="00375E48" w:rsidP="00F17546">
      <w:pPr>
        <w:pStyle w:val="SRTextnomal"/>
      </w:pPr>
      <w:r w:rsidRPr="005A7B7B">
        <w:rPr>
          <w:noProof/>
        </w:rPr>
        <w:drawing>
          <wp:inline distT="0" distB="0" distL="0" distR="0">
            <wp:extent cx="5719445" cy="3067685"/>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19445" cy="3067685"/>
                    </a:xfrm>
                    <a:prstGeom prst="rect">
                      <a:avLst/>
                    </a:prstGeom>
                    <a:noFill/>
                  </pic:spPr>
                </pic:pic>
              </a:graphicData>
            </a:graphic>
          </wp:inline>
        </w:drawing>
      </w:r>
    </w:p>
    <w:p w:rsidR="00D72096" w:rsidRDefault="00D72096" w:rsidP="00F17546">
      <w:pPr>
        <w:pStyle w:val="SRTextnomal"/>
        <w:sectPr w:rsidR="00D72096" w:rsidSect="00187B06">
          <w:type w:val="continuous"/>
          <w:pgSz w:w="11906" w:h="16838" w:code="9"/>
          <w:pgMar w:top="1134" w:right="1134" w:bottom="1134" w:left="1134" w:header="709" w:footer="709" w:gutter="0"/>
          <w:cols w:space="397"/>
          <w:docGrid w:linePitch="360"/>
        </w:sectPr>
      </w:pPr>
    </w:p>
    <w:p w:rsidR="00D72096" w:rsidRPr="005A7B7B" w:rsidRDefault="00D72096" w:rsidP="00F17546">
      <w:pPr>
        <w:pStyle w:val="SRTextnomal"/>
      </w:pPr>
    </w:p>
    <w:p w:rsidR="003F4AB2" w:rsidRPr="005A7B7B" w:rsidRDefault="003F4AB2" w:rsidP="00F17546">
      <w:pPr>
        <w:pStyle w:val="SRTextnomal"/>
        <w:sectPr w:rsidR="003F4AB2" w:rsidRPr="005A7B7B" w:rsidSect="00187B06">
          <w:type w:val="continuous"/>
          <w:pgSz w:w="11906" w:h="16838" w:code="9"/>
          <w:pgMar w:top="1134" w:right="1134" w:bottom="1134" w:left="1134" w:header="709" w:footer="709" w:gutter="0"/>
          <w:cols w:space="397"/>
          <w:docGrid w:linePitch="360"/>
        </w:sectPr>
      </w:pPr>
    </w:p>
    <w:p w:rsidR="008A2DFC" w:rsidRPr="005A7B7B" w:rsidRDefault="008A2DFC" w:rsidP="000D440D">
      <w:pPr>
        <w:pStyle w:val="SRTitulek1"/>
      </w:pPr>
      <w:bookmarkStart w:id="120" w:name="_Toc175913967"/>
      <w:r w:rsidRPr="005A7B7B">
        <w:t xml:space="preserve">Graf </w:t>
      </w:r>
      <w:fldSimple w:instr=" SEQ Graf \* ARABIC ">
        <w:r w:rsidR="0010122A">
          <w:rPr>
            <w:noProof/>
          </w:rPr>
          <w:t>13</w:t>
        </w:r>
      </w:fldSimple>
      <w:r w:rsidRPr="005A7B7B">
        <w:t xml:space="preserve"> Vývoj počtu míst </w:t>
      </w:r>
      <w:r w:rsidR="004B487B" w:rsidRPr="005A7B7B">
        <w:t>příslušníků bez</w:t>
      </w:r>
      <w:r w:rsidR="006D63D7" w:rsidRPr="005A7B7B">
        <w:t>p. sborů a vojáků mezi léty 2019</w:t>
      </w:r>
      <w:r w:rsidR="00E41F09" w:rsidRPr="005A7B7B">
        <w:t xml:space="preserve"> </w:t>
      </w:r>
      <w:r w:rsidR="006D63D7" w:rsidRPr="005A7B7B">
        <w:t>a 2024</w:t>
      </w:r>
      <w:r w:rsidR="004B487B" w:rsidRPr="005A7B7B">
        <w:t xml:space="preserve"> (rozpočet vs. skutečnost)</w:t>
      </w:r>
      <w:bookmarkEnd w:id="120"/>
      <w:r w:rsidRPr="005A7B7B">
        <w:t xml:space="preserve"> </w:t>
      </w:r>
    </w:p>
    <w:p w:rsidR="008A2DFC" w:rsidRDefault="00375E48" w:rsidP="00F17546">
      <w:pPr>
        <w:pStyle w:val="SRTextnomal"/>
      </w:pPr>
      <w:r w:rsidRPr="005A7B7B">
        <w:rPr>
          <w:noProof/>
        </w:rPr>
        <w:drawing>
          <wp:inline distT="0" distB="0" distL="0" distR="0">
            <wp:extent cx="5788025" cy="2880360"/>
            <wp:effectExtent l="0" t="0" r="0" b="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88025" cy="2880360"/>
                    </a:xfrm>
                    <a:prstGeom prst="rect">
                      <a:avLst/>
                    </a:prstGeom>
                    <a:noFill/>
                  </pic:spPr>
                </pic:pic>
              </a:graphicData>
            </a:graphic>
          </wp:inline>
        </w:drawing>
      </w:r>
    </w:p>
    <w:p w:rsidR="00D72096" w:rsidRDefault="00D72096" w:rsidP="00F17546">
      <w:pPr>
        <w:pStyle w:val="SRTextnomal"/>
        <w:sectPr w:rsidR="00D72096" w:rsidSect="00187B06">
          <w:type w:val="continuous"/>
          <w:pgSz w:w="11906" w:h="16838" w:code="9"/>
          <w:pgMar w:top="1134" w:right="1134" w:bottom="1134" w:left="1134" w:header="709" w:footer="709" w:gutter="0"/>
          <w:cols w:space="397"/>
          <w:docGrid w:linePitch="360"/>
        </w:sectPr>
      </w:pPr>
    </w:p>
    <w:p w:rsidR="00D72096" w:rsidRPr="005A7B7B" w:rsidRDefault="00D72096" w:rsidP="00F17546">
      <w:pPr>
        <w:pStyle w:val="SRTextnomal"/>
      </w:pPr>
    </w:p>
    <w:p w:rsidR="003F4AB2" w:rsidRPr="005A7B7B" w:rsidRDefault="003F4AB2" w:rsidP="00F17546">
      <w:pPr>
        <w:pStyle w:val="SRTextnomal"/>
        <w:sectPr w:rsidR="003F4AB2" w:rsidRPr="005A7B7B" w:rsidSect="00187B06">
          <w:type w:val="continuous"/>
          <w:pgSz w:w="11906" w:h="16838" w:code="9"/>
          <w:pgMar w:top="1134" w:right="1134" w:bottom="1134" w:left="1134" w:header="709" w:footer="709" w:gutter="0"/>
          <w:cols w:space="397"/>
          <w:docGrid w:linePitch="360"/>
        </w:sectPr>
      </w:pPr>
    </w:p>
    <w:p w:rsidR="003F4AB2" w:rsidRPr="005A7B7B" w:rsidRDefault="003F4AB2" w:rsidP="00F17546">
      <w:pPr>
        <w:pStyle w:val="SRTextnomal"/>
      </w:pPr>
    </w:p>
    <w:p w:rsidR="00961A56" w:rsidRPr="005A7B7B" w:rsidRDefault="00961A56" w:rsidP="000D440D">
      <w:pPr>
        <w:pStyle w:val="SRTitulek1"/>
      </w:pPr>
      <w:bookmarkStart w:id="121" w:name="_Toc175913968"/>
      <w:r w:rsidRPr="005A7B7B">
        <w:lastRenderedPageBreak/>
        <w:t xml:space="preserve">Graf </w:t>
      </w:r>
      <w:fldSimple w:instr=" SEQ Graf \* ARABIC ">
        <w:r w:rsidR="0010122A">
          <w:rPr>
            <w:noProof/>
          </w:rPr>
          <w:t>14</w:t>
        </w:r>
      </w:fldSimple>
      <w:r w:rsidRPr="005A7B7B">
        <w:t xml:space="preserve"> </w:t>
      </w:r>
      <w:r w:rsidR="00837A86" w:rsidRPr="005A7B7B">
        <w:t>Změny</w:t>
      </w:r>
      <w:r w:rsidR="00DF6F7F" w:rsidRPr="005A7B7B">
        <w:t xml:space="preserve"> počtu míst</w:t>
      </w:r>
      <w:r w:rsidR="00D61D9C" w:rsidRPr="005A7B7B">
        <w:t xml:space="preserve"> zaměstnanců mezi roky 202</w:t>
      </w:r>
      <w:r w:rsidR="006C6D45" w:rsidRPr="005A7B7B">
        <w:t>4 a 2025</w:t>
      </w:r>
      <w:r w:rsidR="00DF6F7F" w:rsidRPr="005A7B7B">
        <w:t xml:space="preserve"> </w:t>
      </w:r>
      <w:r w:rsidR="00F03A2B" w:rsidRPr="005A7B7B">
        <w:t>(</w:t>
      </w:r>
      <w:r w:rsidR="00837A86" w:rsidRPr="005A7B7B">
        <w:t xml:space="preserve">celková změna </w:t>
      </w:r>
      <w:r w:rsidR="00D61D9C" w:rsidRPr="005A7B7B">
        <w:t>–</w:t>
      </w:r>
      <w:r w:rsidR="00F03A2B" w:rsidRPr="005A7B7B">
        <w:t xml:space="preserve"> </w:t>
      </w:r>
      <w:r w:rsidR="006C6D45" w:rsidRPr="005A7B7B">
        <w:t>1 197</w:t>
      </w:r>
      <w:r w:rsidR="00D61D9C" w:rsidRPr="005A7B7B">
        <w:t xml:space="preserve"> </w:t>
      </w:r>
      <w:r w:rsidR="00F03A2B" w:rsidRPr="005A7B7B">
        <w:t>míst)</w:t>
      </w:r>
      <w:bookmarkEnd w:id="121"/>
    </w:p>
    <w:p w:rsidR="008B65E6" w:rsidRDefault="00375E48" w:rsidP="00F17546">
      <w:pPr>
        <w:pStyle w:val="SRTextnomal"/>
      </w:pPr>
      <w:r w:rsidRPr="005A7B7B">
        <w:rPr>
          <w:noProof/>
        </w:rPr>
        <w:drawing>
          <wp:inline distT="0" distB="0" distL="0" distR="0">
            <wp:extent cx="5541645" cy="3203575"/>
            <wp:effectExtent l="0" t="0" r="0" b="0"/>
            <wp:docPr id="266"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41645" cy="3203575"/>
                    </a:xfrm>
                    <a:prstGeom prst="rect">
                      <a:avLst/>
                    </a:prstGeom>
                    <a:noFill/>
                  </pic:spPr>
                </pic:pic>
              </a:graphicData>
            </a:graphic>
          </wp:inline>
        </w:drawing>
      </w:r>
    </w:p>
    <w:p w:rsidR="008B65E6" w:rsidRDefault="008B65E6" w:rsidP="00F17546">
      <w:pPr>
        <w:pStyle w:val="SRTextnomal"/>
        <w:sectPr w:rsidR="008B65E6" w:rsidSect="00187B06">
          <w:type w:val="continuous"/>
          <w:pgSz w:w="11906" w:h="16838" w:code="9"/>
          <w:pgMar w:top="1134" w:right="1134" w:bottom="1134" w:left="1134" w:header="709" w:footer="709" w:gutter="0"/>
          <w:cols w:space="397"/>
          <w:docGrid w:linePitch="360"/>
        </w:sectPr>
      </w:pPr>
    </w:p>
    <w:p w:rsidR="00961A56" w:rsidRPr="005A7B7B" w:rsidRDefault="00961A56" w:rsidP="00F17546">
      <w:pPr>
        <w:pStyle w:val="SRTextnomal"/>
      </w:pPr>
    </w:p>
    <w:p w:rsidR="00961A56" w:rsidRPr="005A7B7B" w:rsidRDefault="00961A56" w:rsidP="00F03A2B">
      <w:pPr>
        <w:jc w:val="center"/>
        <w:sectPr w:rsidR="00961A56" w:rsidRPr="005A7B7B" w:rsidSect="00187B06">
          <w:type w:val="continuous"/>
          <w:pgSz w:w="11906" w:h="16838" w:code="9"/>
          <w:pgMar w:top="1134" w:right="1134" w:bottom="1134" w:left="1134" w:header="709" w:footer="709" w:gutter="0"/>
          <w:cols w:space="397"/>
          <w:docGrid w:linePitch="360"/>
        </w:sectPr>
      </w:pPr>
    </w:p>
    <w:p w:rsidR="008D3805" w:rsidRPr="005A7B7B" w:rsidRDefault="00A42E56" w:rsidP="003C2F43">
      <w:pPr>
        <w:pStyle w:val="SRTextnomal"/>
        <w:rPr>
          <w:rFonts w:eastAsia="Calibri"/>
        </w:rPr>
      </w:pPr>
      <w:r w:rsidRPr="005A7B7B">
        <w:rPr>
          <w:rFonts w:eastAsia="Calibri"/>
        </w:rPr>
        <w:t>Objemy prostředků na platy, ostatní platby za provedenou práci a celkové počty míst v </w:t>
      </w:r>
      <w:r w:rsidR="006D1984" w:rsidRPr="005A7B7B">
        <w:rPr>
          <w:rFonts w:eastAsia="Calibri"/>
        </w:rPr>
        <w:t xml:space="preserve">jednotlivých kapitolách </w:t>
      </w:r>
      <w:r w:rsidR="00B603FF">
        <w:rPr>
          <w:rFonts w:eastAsia="Calibri"/>
        </w:rPr>
        <w:t xml:space="preserve">státního rozpočtu </w:t>
      </w:r>
      <w:r w:rsidR="006D1984" w:rsidRPr="005A7B7B">
        <w:rPr>
          <w:rFonts w:eastAsia="Calibri"/>
        </w:rPr>
        <w:t xml:space="preserve">a </w:t>
      </w:r>
      <w:r w:rsidR="002F1151">
        <w:rPr>
          <w:rFonts w:eastAsia="Calibri"/>
        </w:rPr>
        <w:t xml:space="preserve">v </w:t>
      </w:r>
      <w:r w:rsidR="006D1984" w:rsidRPr="005A7B7B">
        <w:rPr>
          <w:rFonts w:eastAsia="Calibri"/>
        </w:rPr>
        <w:t>dalším</w:t>
      </w:r>
      <w:r w:rsidRPr="005A7B7B">
        <w:rPr>
          <w:rFonts w:eastAsia="Calibri"/>
        </w:rPr>
        <w:t xml:space="preserve"> členění jsou dále </w:t>
      </w:r>
      <w:r w:rsidRPr="005A7B7B">
        <w:rPr>
          <w:rFonts w:eastAsia="Calibri"/>
        </w:rPr>
        <w:t>rozepsány v tabulkové části dokumentace (Tabulková část, tabulky č. 10 - 17).</w:t>
      </w:r>
    </w:p>
    <w:p w:rsidR="00AA3F0C" w:rsidRPr="005A7B7B" w:rsidRDefault="00AA3F0C" w:rsidP="00AA2B0D">
      <w:pPr>
        <w:pStyle w:val="Nadpis2"/>
        <w:sectPr w:rsidR="00AA3F0C" w:rsidRPr="005A7B7B" w:rsidSect="00187B06">
          <w:type w:val="continuous"/>
          <w:pgSz w:w="11906" w:h="16838" w:code="9"/>
          <w:pgMar w:top="1134" w:right="1134" w:bottom="1134" w:left="1134" w:header="709" w:footer="709" w:gutter="0"/>
          <w:cols w:num="2" w:space="397"/>
          <w:docGrid w:linePitch="360"/>
        </w:sectPr>
      </w:pPr>
    </w:p>
    <w:p w:rsidR="00AA2B0D" w:rsidRPr="005A7B7B" w:rsidRDefault="003F6561" w:rsidP="00671AAF">
      <w:pPr>
        <w:pStyle w:val="SRNadpis3"/>
      </w:pPr>
      <w:bookmarkStart w:id="122" w:name="_Toc52369871"/>
      <w:bookmarkStart w:id="123" w:name="_Toc175913894"/>
      <w:r w:rsidRPr="005A7B7B">
        <w:t xml:space="preserve">Vlivy </w:t>
      </w:r>
      <w:r w:rsidR="00AA2B0D" w:rsidRPr="005A7B7B">
        <w:t>plynoucí</w:t>
      </w:r>
      <w:r w:rsidRPr="005A7B7B">
        <w:t xml:space="preserve"> </w:t>
      </w:r>
      <w:bookmarkEnd w:id="122"/>
      <w:r w:rsidR="00AA2B0D" w:rsidRPr="005A7B7B">
        <w:t>z parametrů schváleného střednědobého výhledu na rok 202</w:t>
      </w:r>
      <w:r w:rsidR="003E7D2B">
        <w:t>5</w:t>
      </w:r>
      <w:bookmarkEnd w:id="123"/>
    </w:p>
    <w:p w:rsidR="008D3805" w:rsidRPr="005A7B7B" w:rsidRDefault="008D3805" w:rsidP="00F17546">
      <w:pPr>
        <w:pStyle w:val="SRTextnomal"/>
        <w:sectPr w:rsidR="008D3805" w:rsidRPr="005A7B7B" w:rsidSect="00187B06">
          <w:type w:val="continuous"/>
          <w:pgSz w:w="11906" w:h="16838" w:code="9"/>
          <w:pgMar w:top="1134" w:right="1134" w:bottom="1134" w:left="1134" w:header="709" w:footer="709" w:gutter="0"/>
          <w:cols w:space="397"/>
          <w:docGrid w:linePitch="360"/>
        </w:sectPr>
      </w:pPr>
    </w:p>
    <w:p w:rsidR="003C2F43" w:rsidRPr="005A7B7B" w:rsidRDefault="003C2F43" w:rsidP="003C2F43">
      <w:pPr>
        <w:pStyle w:val="SRTextnomal"/>
      </w:pPr>
      <w:r w:rsidRPr="005A7B7B">
        <w:t xml:space="preserve">Návrh rozpočtu v oblasti výdajů na platy a ostatní platby za provedenou práci včetně </w:t>
      </w:r>
      <w:r w:rsidRPr="00DE314B">
        <w:t>limitu</w:t>
      </w:r>
      <w:r w:rsidRPr="005A7B7B">
        <w:t xml:space="preserve"> počtu míst na roky 2025 až 2027 vychází z parametrů střednědobého výhledu, který byl schválen usnesením vlády č. 703/2023. </w:t>
      </w:r>
    </w:p>
    <w:p w:rsidR="003C2F43" w:rsidRPr="005A7B7B" w:rsidRDefault="003C2F43" w:rsidP="003C2F43">
      <w:pPr>
        <w:pStyle w:val="SRTextnomal"/>
      </w:pPr>
      <w:r w:rsidRPr="005A7B7B">
        <w:t xml:space="preserve">Porovnáme-li střednědobý výhled s parametry schváleného rozpočtu na rok 2024, nejvýraznější vliv se vyskytuje v kapitole Ministerstvo obrany, který se týká navýšení počtu míst vojáků z povolání o 1 100 a 100 míst </w:t>
      </w:r>
      <w:r w:rsidRPr="005A7B7B">
        <w:t xml:space="preserve">obslužného aparátu včetně celkového navýšení prostředků na platy ve výši 0,58 mld. Kč, to vše v rámci pokračující realizace Koncepce výstavby Armády ČR. </w:t>
      </w:r>
    </w:p>
    <w:p w:rsidR="008D3805" w:rsidRPr="005A7B7B" w:rsidRDefault="003C2F43" w:rsidP="003C2F43">
      <w:pPr>
        <w:pStyle w:val="SRTextnomal"/>
      </w:pPr>
      <w:r w:rsidRPr="005A7B7B">
        <w:t>Dalším z výrazných vlivů je vliv v kapitole Ministerstva spravedlnosti, kdy dochází k druhé fázi navýšení objemu prostředků na platy (ve výši 171 mil. Kč) pro občanské zaměstnance soudů za účelem zvýšení úrovně odměňování této skupiny zaměstnanců.</w:t>
      </w:r>
    </w:p>
    <w:p w:rsidR="005C7F8D" w:rsidRPr="005A7B7B" w:rsidRDefault="005C7F8D" w:rsidP="006A5D17">
      <w:pPr>
        <w:pStyle w:val="SRTextnomal"/>
        <w:rPr>
          <w:rFonts w:cs="Arial"/>
        </w:rPr>
        <w:sectPr w:rsidR="005C7F8D" w:rsidRPr="005A7B7B" w:rsidSect="00187B06">
          <w:type w:val="continuous"/>
          <w:pgSz w:w="11906" w:h="16838" w:code="9"/>
          <w:pgMar w:top="1134" w:right="1134" w:bottom="1134" w:left="1134" w:header="709" w:footer="709" w:gutter="0"/>
          <w:cols w:num="2" w:space="397"/>
          <w:docGrid w:linePitch="360"/>
        </w:sectPr>
      </w:pPr>
    </w:p>
    <w:p w:rsidR="00BB226F" w:rsidRDefault="00A8295D" w:rsidP="00671AAF">
      <w:pPr>
        <w:pStyle w:val="SRNadpis3"/>
      </w:pPr>
      <w:bookmarkStart w:id="124" w:name="_Toc175913895"/>
      <w:r w:rsidRPr="005A7B7B">
        <w:t>Vlivy nad rámec schváleného střednědobého výhledu na rok 202</w:t>
      </w:r>
      <w:r>
        <w:t>5</w:t>
      </w:r>
      <w:bookmarkEnd w:id="124"/>
    </w:p>
    <w:p w:rsidR="00BB226F" w:rsidRDefault="00BB226F" w:rsidP="00671AAF">
      <w:pPr>
        <w:pStyle w:val="SRNadpis3"/>
        <w:sectPr w:rsidR="00BB226F" w:rsidSect="00187B06">
          <w:type w:val="continuous"/>
          <w:pgSz w:w="11906" w:h="16838" w:code="9"/>
          <w:pgMar w:top="1134" w:right="1134" w:bottom="1134" w:left="1134" w:header="709" w:footer="709" w:gutter="0"/>
          <w:cols w:space="397"/>
          <w:docGrid w:linePitch="360"/>
        </w:sectPr>
      </w:pPr>
    </w:p>
    <w:p w:rsidR="003C2F43" w:rsidRPr="00486834" w:rsidRDefault="003C2F43" w:rsidP="003C2F43">
      <w:pPr>
        <w:pStyle w:val="SRTextnomal"/>
      </w:pPr>
      <w:r w:rsidRPr="005A7B7B">
        <w:t>Nad rámec vládou schváleného střednědobého výhledu jsou do návrhu parametrů promítnuty vlivy vycházející z provedených rozpočtových opatření, resp. úprav limitů regulace zaměstnanosti v roce 2024 s charakterem trvalých změn, které byly zaneseny do chrono</w:t>
      </w:r>
      <w:r>
        <w:t>logické evidence v Integrovaném informačním systému státní pokladny</w:t>
      </w:r>
      <w:r w:rsidRPr="005A7B7B">
        <w:t xml:space="preserve">, byly schváleny vládou v rámci změny systemizace pracovních a </w:t>
      </w:r>
      <w:r>
        <w:t>služebních míst podle zákona č. </w:t>
      </w:r>
      <w:r w:rsidRPr="005A7B7B">
        <w:t xml:space="preserve">234/2014 Sb., o státní službě, byly zapracovány v návaznosti na </w:t>
      </w:r>
      <w:r w:rsidRPr="009A5C96">
        <w:t>schválenou legislativu, apod.</w:t>
      </w:r>
      <w:r>
        <w:t xml:space="preserve"> </w:t>
      </w:r>
      <w:r w:rsidRPr="00486834">
        <w:t>Kapitolám bylo znovu umožněno, s ohledem na 2% snížení objemu prostředků na platy na základě konsolidačního balíčku, redukovat počet míst bez nutnosti snížení souvisejícího objemu finančních prostředků určených na platy. Jedná se o tyto kapitoly:</w:t>
      </w:r>
    </w:p>
    <w:p w:rsidR="00A8295D" w:rsidRDefault="003C2F43" w:rsidP="003C2F43">
      <w:pPr>
        <w:pStyle w:val="SRTextnomal"/>
      </w:pPr>
      <w:r w:rsidRPr="00486834">
        <w:t xml:space="preserve">Poslanecká sněmovna Parlamentu, Senát Parlamentu, Úřad vlády, Kancelář veřejného ochránce práv, </w:t>
      </w:r>
      <w:r w:rsidRPr="00486834">
        <w:t>Ministerstvo financí, Ministerstvo vnitra, Ministerstvo průmyslu a obchodu, Ministerstvo dopravy, Ministerstvo školství, mládeže a tělovýchovy, Ministerstvo zdravotnictví, Ministerstvo spravedlnosti, Český úřad zeměměřičský a katastrální, Úřad pro ochranu hospodářské soutěže, Ústavní soud, Digitální a informační agentura, Rada pro rozhlasové a televizní vysílání, Státn</w:t>
      </w:r>
      <w:r w:rsidRPr="00A34A17">
        <w:t>í úřad pro jadernou bezpečnost</w:t>
      </w:r>
      <w:r>
        <w:t>.</w:t>
      </w:r>
    </w:p>
    <w:p w:rsidR="003C2F43" w:rsidRPr="005A7B7B" w:rsidRDefault="003C2F43" w:rsidP="003C2F43">
      <w:pPr>
        <w:pStyle w:val="SRTextnomal"/>
      </w:pPr>
      <w:r w:rsidRPr="009A5C96">
        <w:t xml:space="preserve">V navrženém rozpočtu je též promítnuta aktualizace v oblasti prostředků na platy ústavních činitelů a odvozených představitelů státní moci, soudců a státních zástupců, a to v návaznosti na vyhlášení údaje Českého statistického úřadu ohledně úrovně průměrné mzdy v národním hospodářství v ČR dosažené za rok 2023 ve výši 43 120 Kč, která je zapotřebí pro stanovení platových základen na rok 2025. Zároveň je v této oblasti zohledněn dopad nálezu Ústavního soudu ze dne </w:t>
      </w:r>
      <w:r w:rsidRPr="009A5C96">
        <w:lastRenderedPageBreak/>
        <w:t>15.</w:t>
      </w:r>
      <w:r w:rsidR="00D84A2F">
        <w:t> </w:t>
      </w:r>
      <w:r w:rsidRPr="009A5C96">
        <w:t>května 2024, sp. zn. Pl. ÚS 5/24, na základě kterého bude k 31. 12. 2024 v §3 odst. 3 zákona č. 236/1995 Sb. zrušeno ustanovení ve slovech "2,822násobek“. Na základě této skutečnosti byla při stanovení objemu prostředků na platy ústavních činitelů a odvozených představitelů státní moci, soudců a státních zástupců zohledněna platová základna pro výpočet platu soudců, která je východiskem pro ostatní platové základny představitelů</w:t>
      </w:r>
      <w:r>
        <w:t xml:space="preserve"> státní moci,</w:t>
      </w:r>
      <w:r w:rsidRPr="005A7B7B">
        <w:t xml:space="preserve"> ve</w:t>
      </w:r>
      <w:r>
        <w:t> </w:t>
      </w:r>
      <w:r w:rsidRPr="005A7B7B">
        <w:t>výši „3násobku“ průměrné mzdy v národním hospodářství v ČR.</w:t>
      </w:r>
    </w:p>
    <w:p w:rsidR="003C2F43" w:rsidRDefault="003C2F43" w:rsidP="003C2F43">
      <w:pPr>
        <w:pStyle w:val="SRTextnomal"/>
      </w:pPr>
      <w:r w:rsidRPr="005A7B7B">
        <w:t xml:space="preserve">Návrh parametrů rozpočtu již v této fázi obsahuje valorizaci platu učitelů, na základě zákona č. 561/2004 </w:t>
      </w:r>
      <w:r w:rsidRPr="005A7B7B">
        <w:t>Sb., školský zákon, kdy plat učitelů se stanoví jako 130 % průměrné hrubé měsíční nominální mzdy na přepočtené počty zaměstnanců v národním hospodářství, přičemž výpočet výše uvedeného se podle rozhodnutí vlády odvíjí od průměrné hrubé měsíční nominální mzdy na přepočtené počty zaměstnanců v národním hospodářství dosažené podle zveřejněných údajů Českého statistického úřadu za předminulý kalendářní rok. Pro rok 2025 se z uvedeného důvodu navyšuje objem prostředků na platy učitelů v regionálním školství úz</w:t>
      </w:r>
      <w:r w:rsidR="00DE6234">
        <w:t>emních celků o 6,7</w:t>
      </w:r>
      <w:r w:rsidRPr="005A7B7B">
        <w:t xml:space="preserve"> mld. Kč.</w:t>
      </w:r>
    </w:p>
    <w:p w:rsidR="003C2F43" w:rsidRPr="005A7B7B" w:rsidRDefault="003C2F43" w:rsidP="003C2F43">
      <w:pPr>
        <w:pStyle w:val="SRTextnomal"/>
        <w:rPr>
          <w:rFonts w:cs="Arial"/>
        </w:rPr>
        <w:sectPr w:rsidR="003C2F43" w:rsidRPr="005A7B7B" w:rsidSect="00187B06">
          <w:type w:val="continuous"/>
          <w:pgSz w:w="11906" w:h="16838" w:code="9"/>
          <w:pgMar w:top="1134" w:right="1134" w:bottom="1134" w:left="1134" w:header="709" w:footer="709" w:gutter="0"/>
          <w:cols w:num="2" w:space="397"/>
          <w:docGrid w:linePitch="360"/>
        </w:sectPr>
      </w:pPr>
    </w:p>
    <w:p w:rsidR="00A8295D" w:rsidRDefault="00A8295D" w:rsidP="00671AAF">
      <w:pPr>
        <w:pStyle w:val="SRNadpis3"/>
      </w:pPr>
      <w:bookmarkStart w:id="125" w:name="_Toc175913896"/>
      <w:r w:rsidRPr="005A7B7B">
        <w:t>Spolufinancování z Evropské unie a finančních mechanismů (EU/FM)</w:t>
      </w:r>
      <w:bookmarkEnd w:id="125"/>
    </w:p>
    <w:p w:rsidR="00A8295D" w:rsidRDefault="00A8295D" w:rsidP="00671AAF">
      <w:pPr>
        <w:pStyle w:val="SRNadpis3"/>
        <w:sectPr w:rsidR="00A8295D" w:rsidSect="00187B06">
          <w:type w:val="continuous"/>
          <w:pgSz w:w="11906" w:h="16838" w:code="9"/>
          <w:pgMar w:top="1134" w:right="1134" w:bottom="1134" w:left="1134" w:header="709" w:footer="709" w:gutter="0"/>
          <w:cols w:space="397"/>
          <w:docGrid w:linePitch="360"/>
        </w:sectPr>
      </w:pPr>
      <w:bookmarkStart w:id="126" w:name="_Toc52369873"/>
    </w:p>
    <w:p w:rsidR="003C2F43" w:rsidRPr="005A7B7B" w:rsidRDefault="003C2F43" w:rsidP="003C2F43">
      <w:pPr>
        <w:pStyle w:val="SRTextnomal"/>
        <w:rPr>
          <w:rFonts w:eastAsia="Calibri"/>
        </w:rPr>
      </w:pPr>
      <w:r w:rsidRPr="005A7B7B">
        <w:rPr>
          <w:rFonts w:eastAsia="Calibri"/>
        </w:rPr>
        <w:t xml:space="preserve">Konečnou podobu celkových rozpočtových limitů svou měrou ovlivňuje objem prostředků na platy, ostatní platby za provedenou práci a počet míst určený na administraci, realizaci a audit projektů v rámci programů spolufinancovaných z rozpočtu Evropské unie a finančních mechanismů (dále EU/FM). Do této oblasti je pro rok 2025 z nadnárodních zdrojů vybilancovaných zvýšenými příjmy z EU/FM zahrnuta částka ve výši 3,4 mld. Kč. </w:t>
      </w:r>
      <w:r w:rsidRPr="009A5C96">
        <w:rPr>
          <w:rFonts w:eastAsia="Calibri"/>
        </w:rPr>
        <w:t xml:space="preserve">Kapitola Ministerstvo zdravotnictví bude součástí výše uvedených objemů až v pozdější fázi rozpočtových prací. </w:t>
      </w:r>
    </w:p>
    <w:p w:rsidR="003C2F43" w:rsidRPr="005A7B7B" w:rsidRDefault="003C2F43" w:rsidP="003C2F43">
      <w:pPr>
        <w:pStyle w:val="SRTextnomal"/>
        <w:rPr>
          <w:rFonts w:eastAsia="Calibri"/>
        </w:rPr>
      </w:pPr>
      <w:r w:rsidRPr="005A7B7B">
        <w:rPr>
          <w:rFonts w:eastAsia="Calibri"/>
        </w:rPr>
        <w:t xml:space="preserve">K výdajům krytým příjmy z EU/FM je v oblasti platů a ostatních plateb za provedenou práci rozpočtována rovněž národní část prostředků na spolufinancování ze státního rozpočtu. Tento podíl činí pro rok 2025 celkem 0,8 mld. Kč, z čehož 0,45 mld. Kč bylo do platové oblasti s roční platností zařazeno z ostatních běžných výdajů dotčených kapitol. </w:t>
      </w:r>
    </w:p>
    <w:p w:rsidR="003C2F43" w:rsidRDefault="003C2F43" w:rsidP="003C2F43">
      <w:pPr>
        <w:pStyle w:val="SRTextnomal"/>
        <w:rPr>
          <w:rFonts w:eastAsia="Calibri"/>
        </w:rPr>
      </w:pPr>
      <w:r w:rsidRPr="005A7B7B">
        <w:rPr>
          <w:rFonts w:eastAsia="Calibri"/>
        </w:rPr>
        <w:t xml:space="preserve">Během rozpočtových prací bylo tradičně a s ohledem na hospodárné vynakládání prostředků v platové oblasti přistoupeno k analýze finančních možností s důrazem na využitelnost rezerv kumulovaných v nárocích z nespotřebovaných výdajů a následným redukcím rozpočtových návrhů jednotlivých kapitol způsobem, aby rozpočtový limit společně s predikcí vzniku úspor z minulých let zajistil dostatečné a plynulé čerpání prostředků na platy a ostatní platby za provedenou práci. </w:t>
      </w:r>
    </w:p>
    <w:p w:rsidR="003C2F43" w:rsidRPr="005A7B7B" w:rsidRDefault="003C2F43" w:rsidP="003C2F43">
      <w:pPr>
        <w:pStyle w:val="SRTextnomal"/>
        <w:rPr>
          <w:rFonts w:eastAsia="Calibri"/>
        </w:rPr>
      </w:pPr>
      <w:r w:rsidRPr="005A7B7B">
        <w:rPr>
          <w:rFonts w:eastAsia="Calibri"/>
        </w:rPr>
        <w:t xml:space="preserve">Co se týká počtu míst, celkem je navržen počet jednorázových míst ve výši 5 360. Jednorázové navýšení představuje místa, která jsou do limitu státního rozpočtu promítána ročně společně s rozpočtovanými prostředky z EU/FM. Jsou určena primárně na zabezpečení administrace, realizace či auditu programů/projektů po dobu programového období včetně započtení pravidla n+3. </w:t>
      </w:r>
    </w:p>
    <w:p w:rsidR="003C2F43" w:rsidRPr="005A7B7B" w:rsidRDefault="003C2F43" w:rsidP="003C2F43">
      <w:pPr>
        <w:pStyle w:val="SRTextnomal"/>
      </w:pPr>
      <w:r w:rsidRPr="005A7B7B">
        <w:rPr>
          <w:rFonts w:eastAsia="Calibri"/>
        </w:rPr>
        <w:t>Mimo jednorázové navýšení mají úřady možnost ze svých personálních limitů vyčlenit část kapacity, která se po dobu administrace či realizace bude podílet na čerpání prostředků z EU/FM. Tato místa lze během či po ukončení projektů, maximálně programového období, zařadit zpět do kmenových agend. V parametrech rozpočtu na rok 2025 je napříč dotčenými úřady určeno 348 takových míst kmenových zaměstnanců. Třetím možným případem personálního zajištění jsou kmenoví zaměstnanci úřadů a organizací, jejichž plat je plně hrazen ze státního rozpočtu a zároveň existuje možnost jejich motivaci (osobní příplatek, odměny) částečně nebo plně hradit z prostředků EU/FM. Pro rok 2025 se uvažuje s 1 060 fyzickými zaměstnanci, na které by se tato možnost měla vztahovat.</w:t>
      </w:r>
    </w:p>
    <w:p w:rsidR="00A8295D" w:rsidRPr="005A7B7B" w:rsidRDefault="003C2F43" w:rsidP="00A8295D">
      <w:pPr>
        <w:pStyle w:val="SRTextnomal"/>
      </w:pPr>
      <w:r w:rsidRPr="005A7B7B">
        <w:t>Základní přehled v rozčlenění na jednotlivé kapitoly uvádí následující tabulka.</w:t>
      </w:r>
    </w:p>
    <w:p w:rsidR="00A8295D" w:rsidRPr="005A7B7B" w:rsidRDefault="00A8295D" w:rsidP="00A8295D">
      <w:pPr>
        <w:sectPr w:rsidR="00A8295D" w:rsidRPr="005A7B7B" w:rsidSect="00187B06">
          <w:type w:val="continuous"/>
          <w:pgSz w:w="11906" w:h="16838" w:code="9"/>
          <w:pgMar w:top="1134" w:right="1134" w:bottom="1134" w:left="1134" w:header="709" w:footer="709" w:gutter="0"/>
          <w:cols w:num="2" w:space="397"/>
          <w:docGrid w:linePitch="360"/>
        </w:sectPr>
      </w:pPr>
    </w:p>
    <w:p w:rsidR="00A8295D" w:rsidRDefault="00A8295D" w:rsidP="00A8295D"/>
    <w:p w:rsidR="00A8295D" w:rsidRPr="00A8295D" w:rsidRDefault="00A8295D" w:rsidP="00A8295D">
      <w:pPr>
        <w:sectPr w:rsidR="00A8295D" w:rsidRPr="00A8295D" w:rsidSect="00187B06">
          <w:type w:val="continuous"/>
          <w:pgSz w:w="11906" w:h="16838" w:code="9"/>
          <w:pgMar w:top="1134" w:right="1134" w:bottom="1134" w:left="1134" w:header="709" w:footer="709" w:gutter="0"/>
          <w:cols w:space="397"/>
          <w:docGrid w:linePitch="360"/>
        </w:sectPr>
      </w:pPr>
    </w:p>
    <w:p w:rsidR="00814F52" w:rsidRPr="005A7B7B" w:rsidRDefault="00814F52" w:rsidP="000D440D">
      <w:pPr>
        <w:pStyle w:val="SRTitulek1"/>
      </w:pPr>
      <w:bookmarkStart w:id="127" w:name="_Toc80264016"/>
      <w:bookmarkStart w:id="128" w:name="_Toc175913939"/>
      <w:bookmarkEnd w:id="126"/>
      <w:r w:rsidRPr="005A7B7B">
        <w:lastRenderedPageBreak/>
        <w:t xml:space="preserve">Tabulka </w:t>
      </w:r>
      <w:fldSimple w:instr=" SEQ Tabulka \* ARABIC ">
        <w:r w:rsidR="0010122A">
          <w:rPr>
            <w:noProof/>
          </w:rPr>
          <w:t>17</w:t>
        </w:r>
      </w:fldSimple>
      <w:r w:rsidRPr="005A7B7B">
        <w:t xml:space="preserve"> </w:t>
      </w:r>
      <w:r w:rsidR="00BD617C" w:rsidRPr="005A7B7B">
        <w:t>Platy a ostatní platby za provedenou práci a počty míst vč. EU a FM</w:t>
      </w:r>
      <w:bookmarkEnd w:id="127"/>
      <w:bookmarkEnd w:id="128"/>
    </w:p>
    <w:p w:rsidR="00554EA4" w:rsidRPr="005A7B7B" w:rsidRDefault="00375E48" w:rsidP="00DE314B">
      <w:pPr>
        <w:pStyle w:val="SRTextnomal"/>
      </w:pPr>
      <w:r w:rsidRPr="005A7B7B">
        <w:rPr>
          <w:noProof/>
        </w:rPr>
        <w:drawing>
          <wp:inline distT="0" distB="0" distL="0" distR="0">
            <wp:extent cx="5939942" cy="8317769"/>
            <wp:effectExtent l="0" t="0" r="3810" b="762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4573" cy="8324254"/>
                    </a:xfrm>
                    <a:prstGeom prst="rect">
                      <a:avLst/>
                    </a:prstGeom>
                    <a:noFill/>
                    <a:ln>
                      <a:noFill/>
                    </a:ln>
                  </pic:spPr>
                </pic:pic>
              </a:graphicData>
            </a:graphic>
          </wp:inline>
        </w:drawing>
      </w:r>
    </w:p>
    <w:p w:rsidR="00F755CD" w:rsidRPr="005A7B7B" w:rsidRDefault="00F755CD" w:rsidP="00BD617C">
      <w:pPr>
        <w:sectPr w:rsidR="00F755CD" w:rsidRPr="005A7B7B" w:rsidSect="00187B06">
          <w:type w:val="continuous"/>
          <w:pgSz w:w="11906" w:h="16838" w:code="9"/>
          <w:pgMar w:top="1134" w:right="1134" w:bottom="1134" w:left="1134" w:header="709" w:footer="709" w:gutter="0"/>
          <w:cols w:space="709"/>
          <w:docGrid w:linePitch="360"/>
        </w:sectPr>
      </w:pPr>
    </w:p>
    <w:p w:rsidR="00DE314B" w:rsidRDefault="00DE314B" w:rsidP="00DE314B">
      <w:pPr>
        <w:pStyle w:val="SRTextnomal"/>
        <w:rPr>
          <w:rFonts w:eastAsia="Calibri"/>
        </w:rPr>
        <w:sectPr w:rsidR="00DE314B" w:rsidSect="00187B06">
          <w:type w:val="continuous"/>
          <w:pgSz w:w="11906" w:h="16838" w:code="9"/>
          <w:pgMar w:top="1134" w:right="1134" w:bottom="1134" w:left="1134" w:header="709" w:footer="709" w:gutter="0"/>
          <w:cols w:num="2" w:space="709"/>
          <w:docGrid w:linePitch="360"/>
        </w:sectPr>
      </w:pPr>
    </w:p>
    <w:p w:rsidR="00AA3F0C" w:rsidRPr="005A7B7B" w:rsidRDefault="007F3192" w:rsidP="00DE314B">
      <w:pPr>
        <w:pStyle w:val="SRTextnomal"/>
        <w:rPr>
          <w:rFonts w:eastAsia="Calibri"/>
        </w:rPr>
      </w:pPr>
      <w:r w:rsidRPr="005A7B7B">
        <w:rPr>
          <w:rFonts w:eastAsia="Calibri"/>
        </w:rPr>
        <w:t xml:space="preserve">Podrobnější přehled v rozdělení na administrativní a ostatní personální kapacity a v členění podle </w:t>
      </w:r>
      <w:r w:rsidRPr="005A7B7B">
        <w:rPr>
          <w:rFonts w:eastAsia="Calibri"/>
        </w:rPr>
        <w:t>jednotlivých kapit</w:t>
      </w:r>
      <w:r w:rsidR="00D41D91" w:rsidRPr="005A7B7B">
        <w:rPr>
          <w:rFonts w:eastAsia="Calibri"/>
        </w:rPr>
        <w:t>ol státního rozpočtu je uveden v tabulkové části materiálu</w:t>
      </w:r>
      <w:r w:rsidRPr="005A7B7B">
        <w:rPr>
          <w:rFonts w:eastAsia="Calibri"/>
        </w:rPr>
        <w:t>.</w:t>
      </w:r>
    </w:p>
    <w:p w:rsidR="00974689" w:rsidRPr="005A7B7B" w:rsidRDefault="00974689" w:rsidP="00BD617C">
      <w:pPr>
        <w:rPr>
          <w:rFonts w:eastAsia="Calibri"/>
        </w:rPr>
        <w:sectPr w:rsidR="00974689" w:rsidRPr="005A7B7B" w:rsidSect="00187B06">
          <w:type w:val="continuous"/>
          <w:pgSz w:w="11906" w:h="16838" w:code="9"/>
          <w:pgMar w:top="1134" w:right="1134" w:bottom="1134" w:left="1134" w:header="709" w:footer="709" w:gutter="0"/>
          <w:cols w:num="2" w:space="709"/>
          <w:docGrid w:linePitch="360"/>
        </w:sectPr>
      </w:pPr>
    </w:p>
    <w:p w:rsidR="003F6561" w:rsidRPr="005A7B7B" w:rsidRDefault="007C2397" w:rsidP="00671AAF">
      <w:pPr>
        <w:pStyle w:val="SRNadpis3"/>
      </w:pPr>
      <w:bookmarkStart w:id="129" w:name="_Toc52369874"/>
      <w:bookmarkStart w:id="130" w:name="_Toc175913897"/>
      <w:r w:rsidRPr="005A7B7B">
        <w:lastRenderedPageBreak/>
        <w:t>Průměrné platy</w:t>
      </w:r>
      <w:bookmarkEnd w:id="129"/>
      <w:bookmarkEnd w:id="130"/>
    </w:p>
    <w:p w:rsidR="00B660F8" w:rsidRPr="005A7B7B" w:rsidRDefault="00B660F8" w:rsidP="00F17546">
      <w:pPr>
        <w:pStyle w:val="SRTextnomal"/>
        <w:rPr>
          <w:rFonts w:eastAsia="Calibri"/>
        </w:rPr>
        <w:sectPr w:rsidR="00B660F8" w:rsidRPr="005A7B7B" w:rsidSect="00187B06">
          <w:type w:val="continuous"/>
          <w:pgSz w:w="11906" w:h="16838" w:code="9"/>
          <w:pgMar w:top="1134" w:right="1134" w:bottom="1134" w:left="1134" w:header="709" w:footer="709" w:gutter="0"/>
          <w:cols w:space="397"/>
          <w:docGrid w:linePitch="360"/>
        </w:sectPr>
      </w:pPr>
    </w:p>
    <w:p w:rsidR="003C2F43" w:rsidRDefault="003C2F43" w:rsidP="003C2F43">
      <w:pPr>
        <w:pStyle w:val="SRTextnomal"/>
        <w:rPr>
          <w:rFonts w:eastAsia="Calibri"/>
        </w:rPr>
      </w:pPr>
      <w:r w:rsidRPr="005A7B7B">
        <w:rPr>
          <w:rFonts w:eastAsia="Calibri"/>
        </w:rPr>
        <w:t xml:space="preserve">Meziroční vývoj v oblasti průměrných platů je ovlivněn řadou faktorů. </w:t>
      </w:r>
    </w:p>
    <w:p w:rsidR="003C2F43" w:rsidRDefault="003C2F43" w:rsidP="003C2F43">
      <w:pPr>
        <w:pStyle w:val="SRTextnomal"/>
        <w:rPr>
          <w:rFonts w:eastAsia="Calibri"/>
        </w:rPr>
      </w:pPr>
      <w:r>
        <w:rPr>
          <w:rFonts w:eastAsia="Calibri"/>
        </w:rPr>
        <w:t>V</w:t>
      </w:r>
      <w:r w:rsidRPr="005A7B7B">
        <w:t xml:space="preserve">láda schválila od roku 2025 navýšení objemu prostředků na platy ve výši 5 % (vyjma učitelů, jejichž navýšení je již zohledněno). Z důvodu rozsáhlosti prací budou dopady do objemů prostředků </w:t>
      </w:r>
      <w:r>
        <w:t xml:space="preserve">a výše průměrného platu </w:t>
      </w:r>
      <w:r w:rsidRPr="005A7B7B">
        <w:t>jednotlivých kapitol zapracovány a promítnuty v další fázi rozpočtových prací</w:t>
      </w:r>
    </w:p>
    <w:p w:rsidR="003C2F43" w:rsidRPr="005A7B7B" w:rsidRDefault="003C2F43" w:rsidP="003C2F43">
      <w:pPr>
        <w:pStyle w:val="SRTextnomal"/>
      </w:pPr>
      <w:r w:rsidRPr="005A7B7B">
        <w:rPr>
          <w:rFonts w:eastAsia="Calibri"/>
        </w:rPr>
        <w:t>Významným způsobem se projevuje realizace opatření vedoucí k navýšení objemu prostředků na platy učitelů tak, aby jejich průměrný plat o</w:t>
      </w:r>
      <w:r w:rsidRPr="005A7B7B">
        <w:t>dpovídal 130 % průměrné hrubé měsíční nominální mzdy na přepočtené počty zaměstnanců v národním hospodářství.</w:t>
      </w:r>
      <w:r w:rsidRPr="005A7B7B">
        <w:rPr>
          <w:rFonts w:eastAsia="Calibri"/>
        </w:rPr>
        <w:t xml:space="preserve"> V této souvislosti došlo pro rok 2025 k navýšení objemu prostředků na platy učitelů o 6,7 mld. Kč. </w:t>
      </w:r>
    </w:p>
    <w:p w:rsidR="003C2F43" w:rsidRPr="003C2F43" w:rsidRDefault="003C2F43" w:rsidP="003C2F43">
      <w:pPr>
        <w:pStyle w:val="SRTextnomal"/>
      </w:pPr>
      <w:r w:rsidRPr="005A7B7B">
        <w:t>U zaměstnanců organizačních složek státu odměňovaných podle zákoníku práce dochází meziročně k </w:t>
      </w:r>
      <w:r>
        <w:t xml:space="preserve">růstu průměrného platu o 2,3 %, což je ovlivněno především snížením počtu </w:t>
      </w:r>
      <w:r w:rsidRPr="003C2F43">
        <w:t>míst bez snížení objemu prostředků na platy v průběhu roku 2024.</w:t>
      </w:r>
    </w:p>
    <w:p w:rsidR="003C2F43" w:rsidRPr="005A7B7B" w:rsidRDefault="003C2F43" w:rsidP="003C2F43">
      <w:pPr>
        <w:pStyle w:val="SRTextnomal"/>
        <w:rPr>
          <w:rFonts w:eastAsia="Calibri"/>
        </w:rPr>
      </w:pPr>
      <w:r w:rsidRPr="003C2F43">
        <w:rPr>
          <w:rFonts w:eastAsia="Calibri"/>
        </w:rPr>
        <w:t>V kategorii příslušníků bezpečnostních sborů</w:t>
      </w:r>
      <w:r w:rsidRPr="005A7B7B">
        <w:rPr>
          <w:rFonts w:eastAsia="Calibri"/>
        </w:rPr>
        <w:t xml:space="preserve"> a vojáků z povolání se projevuje minimální snižování počtu tabulkových míst, čímž dochází k meziročnímu zvýšení průměrného platu o 0,8 %.</w:t>
      </w:r>
    </w:p>
    <w:p w:rsidR="003C2F43" w:rsidRPr="005A7B7B" w:rsidRDefault="003C2F43" w:rsidP="003C2F43">
      <w:pPr>
        <w:pStyle w:val="SRTextnomal"/>
        <w:rPr>
          <w:rFonts w:eastAsia="Calibri"/>
        </w:rPr>
      </w:pPr>
      <w:r w:rsidRPr="005A7B7B">
        <w:rPr>
          <w:rFonts w:eastAsia="Calibri"/>
        </w:rPr>
        <w:t>P</w:t>
      </w:r>
      <w:r w:rsidRPr="005A7B7B">
        <w:t>růměrný plat zaměstnanců organizačních složek státu odměňovaných podle zákona o státní</w:t>
      </w:r>
      <w:r>
        <w:t xml:space="preserve"> službě meziročně roste o 3,4 %, což je způsobeno stejným faktorem jako v případě zaměstnanců organizačních složek státu odměňovaných podle zákoníku práce.</w:t>
      </w:r>
    </w:p>
    <w:p w:rsidR="003C2F43" w:rsidRPr="005A7B7B" w:rsidRDefault="003C2F43" w:rsidP="003C2F43">
      <w:pPr>
        <w:pStyle w:val="SRtextodstavce"/>
      </w:pPr>
      <w:r w:rsidRPr="005A7B7B">
        <w:t xml:space="preserve">Průměrný plat v kategorii </w:t>
      </w:r>
      <w:r w:rsidRPr="005A7B7B">
        <w:rPr>
          <w:rFonts w:eastAsia="Calibri"/>
        </w:rPr>
        <w:t xml:space="preserve">státních zástupců a odvozených představitelů roste o 13,1 %, což je zapříčiněno především posílením </w:t>
      </w:r>
      <w:r w:rsidRPr="005A7B7B">
        <w:t>oblasti platů státních zástupců vlivem konstrukce jejich platu, která je závislá na růst</w:t>
      </w:r>
      <w:r>
        <w:t>u</w:t>
      </w:r>
      <w:r w:rsidRPr="005A7B7B">
        <w:t xml:space="preserve"> průměrné mzdy v národním hospodářství v předminulém kalendářním roce.</w:t>
      </w:r>
    </w:p>
    <w:p w:rsidR="003C2F43" w:rsidRPr="005A7B7B" w:rsidRDefault="003C2F43" w:rsidP="003C2F43">
      <w:pPr>
        <w:pStyle w:val="SRtextodstavce"/>
      </w:pPr>
      <w:r w:rsidRPr="005A7B7B">
        <w:t xml:space="preserve">Průměrný plat zaměstnanců příspěvkových organizací meziročně roste o 4,9 %, což je způsobeno především výše zmíněným posílením platů učitelů. </w:t>
      </w:r>
    </w:p>
    <w:p w:rsidR="003C2F43" w:rsidRPr="005A7B7B" w:rsidRDefault="003C2F43" w:rsidP="003C2F43">
      <w:pPr>
        <w:pStyle w:val="SRTextnomal"/>
        <w:rPr>
          <w:rFonts w:eastAsia="Calibri"/>
        </w:rPr>
      </w:pPr>
      <w:r w:rsidRPr="005A7B7B">
        <w:rPr>
          <w:rFonts w:eastAsia="Calibri"/>
        </w:rPr>
        <w:t xml:space="preserve">Jistou měrou se na vývoji průměrných platů v jednotlivých typech organizací a mezi kategoriemi zaměstnanců podílí i vnitřní přesuny prostředků a další operace na základě požadavků resortů při přípravě rozpočtu či úpravy v oblasti projektových míst (rozpočtování s ohledem na využitelnost rezerv kumulovaných v nárocích z nespotřebovaných výdajů). </w:t>
      </w:r>
    </w:p>
    <w:p w:rsidR="00B660F8" w:rsidRPr="005A7B7B" w:rsidRDefault="003C2F43" w:rsidP="003C2F43">
      <w:pPr>
        <w:pStyle w:val="SRTextnomal"/>
        <w:rPr>
          <w:rFonts w:eastAsia="Calibri"/>
        </w:rPr>
      </w:pPr>
      <w:r w:rsidRPr="005A7B7B">
        <w:rPr>
          <w:rFonts w:eastAsia="Calibri"/>
        </w:rPr>
        <w:t>V celé veřejné sféře dochází meziročně k růstu průměrného platu o 3,7 %. Oblast průměrných platů shrnuje následující tabulka.</w:t>
      </w:r>
    </w:p>
    <w:p w:rsidR="00BC293B" w:rsidRPr="005A7B7B" w:rsidRDefault="00BC293B" w:rsidP="00F17546">
      <w:pPr>
        <w:pStyle w:val="SRTextnomal"/>
        <w:rPr>
          <w:rFonts w:eastAsia="Calibri"/>
        </w:rPr>
        <w:sectPr w:rsidR="00BC293B" w:rsidRPr="005A7B7B" w:rsidSect="00187B06">
          <w:type w:val="continuous"/>
          <w:pgSz w:w="11906" w:h="16838" w:code="9"/>
          <w:pgMar w:top="1134" w:right="1134" w:bottom="1134" w:left="1134" w:header="709" w:footer="709" w:gutter="0"/>
          <w:cols w:num="2" w:space="397"/>
          <w:docGrid w:linePitch="360"/>
        </w:sectPr>
      </w:pPr>
    </w:p>
    <w:p w:rsidR="00BC4CD0" w:rsidRPr="005A7B7B" w:rsidRDefault="00814F52" w:rsidP="000D440D">
      <w:pPr>
        <w:pStyle w:val="SRTitulek1"/>
      </w:pPr>
      <w:bookmarkStart w:id="131" w:name="_Toc80264017"/>
      <w:bookmarkStart w:id="132" w:name="_Toc175913940"/>
      <w:r w:rsidRPr="005A7B7B">
        <w:t xml:space="preserve">Tabulka </w:t>
      </w:r>
      <w:fldSimple w:instr=" SEQ Tabulka \* ARABIC ">
        <w:r w:rsidR="0010122A">
          <w:rPr>
            <w:noProof/>
          </w:rPr>
          <w:t>18</w:t>
        </w:r>
      </w:fldSimple>
      <w:r w:rsidRPr="005A7B7B">
        <w:t xml:space="preserve"> Průměrné </w:t>
      </w:r>
      <w:r w:rsidR="00BC4CD0" w:rsidRPr="005A7B7B">
        <w:t xml:space="preserve">platy v OSS a PO – očištěno o místa příslušníků </w:t>
      </w:r>
      <w:r w:rsidR="00322FA5" w:rsidRPr="005A7B7B">
        <w:t xml:space="preserve">bezpečnostních sborů </w:t>
      </w:r>
      <w:r w:rsidR="00BC4CD0" w:rsidRPr="005A7B7B">
        <w:t>a vojáků bez finančního krytí</w:t>
      </w:r>
      <w:bookmarkEnd w:id="131"/>
      <w:bookmarkEnd w:id="132"/>
    </w:p>
    <w:p w:rsidR="00BC4CD0" w:rsidRPr="005A7B7B" w:rsidRDefault="00375E48" w:rsidP="00DE314B">
      <w:pPr>
        <w:pStyle w:val="SRTextnomal"/>
      </w:pPr>
      <w:r w:rsidRPr="005A7B7B">
        <w:rPr>
          <w:noProof/>
        </w:rPr>
        <w:drawing>
          <wp:inline distT="0" distB="0" distL="0" distR="0">
            <wp:extent cx="6115050" cy="271462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p>
    <w:p w:rsidR="00E92F05" w:rsidRPr="005A7B7B" w:rsidRDefault="00E92F05" w:rsidP="00DE314B">
      <w:pPr>
        <w:pStyle w:val="SRTextnomal"/>
        <w:sectPr w:rsidR="00E92F05" w:rsidRPr="005A7B7B" w:rsidSect="00187B06">
          <w:type w:val="continuous"/>
          <w:pgSz w:w="11906" w:h="16838" w:code="9"/>
          <w:pgMar w:top="1134" w:right="1134" w:bottom="1134" w:left="1134" w:header="709" w:footer="709" w:gutter="0"/>
          <w:cols w:space="397"/>
          <w:docGrid w:linePitch="360"/>
        </w:sectPr>
      </w:pPr>
    </w:p>
    <w:p w:rsidR="00E92F05" w:rsidRPr="005A7B7B" w:rsidRDefault="00E92F05" w:rsidP="00DE314B">
      <w:pPr>
        <w:pStyle w:val="SRTextnomal"/>
        <w:sectPr w:rsidR="00E92F05" w:rsidRPr="005A7B7B" w:rsidSect="00187B06">
          <w:type w:val="continuous"/>
          <w:pgSz w:w="11906" w:h="16838" w:code="9"/>
          <w:pgMar w:top="1134" w:right="1134" w:bottom="1134" w:left="1134" w:header="709" w:footer="709" w:gutter="0"/>
          <w:cols w:space="397"/>
          <w:docGrid w:linePitch="360"/>
        </w:sectPr>
      </w:pPr>
      <w:bookmarkStart w:id="133" w:name="_Toc52369867"/>
      <w:bookmarkStart w:id="134" w:name="_Toc52369875"/>
    </w:p>
    <w:p w:rsidR="005711A0" w:rsidRPr="005A7B7B" w:rsidRDefault="005711A0" w:rsidP="00D06E57">
      <w:pPr>
        <w:pStyle w:val="SRNadpis2"/>
      </w:pPr>
      <w:bookmarkStart w:id="135" w:name="_Toc175913898"/>
      <w:r w:rsidRPr="005A7B7B">
        <w:lastRenderedPageBreak/>
        <w:t>Běžné výdaje</w:t>
      </w:r>
      <w:bookmarkEnd w:id="133"/>
      <w:bookmarkEnd w:id="135"/>
    </w:p>
    <w:p w:rsidR="005711A0" w:rsidRPr="005A7B7B" w:rsidRDefault="005711A0" w:rsidP="00B10007">
      <w:pPr>
        <w:sectPr w:rsidR="005711A0" w:rsidRPr="005A7B7B" w:rsidSect="00187B06">
          <w:pgSz w:w="11906" w:h="16838" w:code="9"/>
          <w:pgMar w:top="1134" w:right="1134" w:bottom="1134" w:left="1134" w:header="709" w:footer="709" w:gutter="0"/>
          <w:cols w:space="397"/>
          <w:docGrid w:linePitch="360"/>
        </w:sectPr>
      </w:pPr>
    </w:p>
    <w:p w:rsidR="005711A0" w:rsidRPr="005A7B7B" w:rsidRDefault="00AF5DD5" w:rsidP="00F17546">
      <w:pPr>
        <w:pStyle w:val="SRTextnomal"/>
      </w:pPr>
      <w:r w:rsidRPr="005A7B7B">
        <w:t xml:space="preserve">Běžné výdaje včetně výdajů krytých příjmy z rozpočtu EU/FM jsou rozpočtovány ve výši 2 065,3 mld. Kč, oproti schválenému rozpočtu na rok 2024 se zvyšují o </w:t>
      </w:r>
      <w:r w:rsidR="00582042" w:rsidRPr="005A7B7B">
        <w:t>57,9 </w:t>
      </w:r>
      <w:r w:rsidRPr="005A7B7B">
        <w:t xml:space="preserve">mld. Kč. Z druhového hlediska se běžné výdaje člení na platy a podobné a související výdaje, neinvestiční nákupy, neinvestiční transfery soukromoprávním osobám, </w:t>
      </w:r>
      <w:r w:rsidRPr="005A7B7B">
        <w:t>veřejnoprávním osobám a fyzickým osobám, neinvestiční transfery do zahraničí, neinvestiční půjčené prostředky, neinvestiční převody Národnímu fondu, výdaje na náhrady za nezpůsobenou újmu a ostatní neinvestiční výdaje.</w:t>
      </w:r>
    </w:p>
    <w:p w:rsidR="005711A0" w:rsidRPr="005A7B7B" w:rsidRDefault="005711A0" w:rsidP="000D440D">
      <w:pPr>
        <w:pStyle w:val="SRTitulek1"/>
        <w:sectPr w:rsidR="005711A0" w:rsidRPr="005A7B7B" w:rsidSect="00187B06">
          <w:type w:val="continuous"/>
          <w:pgSz w:w="11906" w:h="16838" w:code="9"/>
          <w:pgMar w:top="1134" w:right="1134" w:bottom="1134" w:left="1134" w:header="709" w:footer="709" w:gutter="0"/>
          <w:cols w:num="2" w:space="397"/>
          <w:docGrid w:linePitch="360"/>
        </w:sectPr>
      </w:pPr>
    </w:p>
    <w:p w:rsidR="005711A0" w:rsidRPr="005A7B7B" w:rsidRDefault="005711A0" w:rsidP="000D440D">
      <w:pPr>
        <w:pStyle w:val="SRTitulek1"/>
        <w:rPr>
          <w:i/>
        </w:rPr>
      </w:pPr>
      <w:bookmarkStart w:id="136" w:name="_Toc80264008"/>
      <w:bookmarkStart w:id="137" w:name="_Toc175913941"/>
      <w:r w:rsidRPr="005A7B7B">
        <w:t xml:space="preserve">Tabulka </w:t>
      </w:r>
      <w:fldSimple w:instr=" SEQ Tabulka \* ARABIC ">
        <w:r w:rsidR="0010122A">
          <w:rPr>
            <w:noProof/>
          </w:rPr>
          <w:t>19</w:t>
        </w:r>
      </w:fldSimple>
      <w:r w:rsidRPr="005A7B7B">
        <w:t xml:space="preserve"> Běžné výdaje </w:t>
      </w:r>
      <w:r w:rsidRPr="005A7B7B">
        <w:rPr>
          <w:i/>
        </w:rPr>
        <w:t>(v mld. Kč)</w:t>
      </w:r>
      <w:bookmarkEnd w:id="136"/>
      <w:bookmarkEnd w:id="137"/>
    </w:p>
    <w:p w:rsidR="005711A0" w:rsidRPr="005A7B7B" w:rsidRDefault="00375E48" w:rsidP="00DE314B">
      <w:pPr>
        <w:pStyle w:val="SRTextnomal"/>
      </w:pPr>
      <w:r w:rsidRPr="005A7B7B">
        <w:rPr>
          <w:noProof/>
        </w:rPr>
        <w:drawing>
          <wp:inline distT="0" distB="0" distL="0" distR="0">
            <wp:extent cx="6115050" cy="299085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990850"/>
                    </a:xfrm>
                    <a:prstGeom prst="rect">
                      <a:avLst/>
                    </a:prstGeom>
                    <a:noFill/>
                    <a:ln>
                      <a:noFill/>
                    </a:ln>
                  </pic:spPr>
                </pic:pic>
              </a:graphicData>
            </a:graphic>
          </wp:inline>
        </w:drawing>
      </w:r>
    </w:p>
    <w:p w:rsidR="00D72096" w:rsidRDefault="00D72096" w:rsidP="00DE314B">
      <w:pPr>
        <w:pStyle w:val="SRTextnomal"/>
        <w:sectPr w:rsidR="00D72096" w:rsidSect="00187B06">
          <w:type w:val="continuous"/>
          <w:pgSz w:w="11906" w:h="16838" w:code="9"/>
          <w:pgMar w:top="1134" w:right="1134" w:bottom="1134" w:left="1134" w:header="709" w:footer="709" w:gutter="0"/>
          <w:cols w:space="397"/>
          <w:docGrid w:linePitch="360"/>
        </w:sectPr>
      </w:pPr>
    </w:p>
    <w:p w:rsidR="00190920" w:rsidRPr="005A7B7B" w:rsidRDefault="00190920" w:rsidP="005711A0"/>
    <w:p w:rsidR="00051B49" w:rsidRPr="005A7B7B" w:rsidRDefault="00051B49" w:rsidP="005711A0">
      <w:pPr>
        <w:sectPr w:rsidR="00051B49" w:rsidRPr="005A7B7B" w:rsidSect="00187B06">
          <w:type w:val="continuous"/>
          <w:pgSz w:w="11906" w:h="16838" w:code="9"/>
          <w:pgMar w:top="1134" w:right="1134" w:bottom="1134" w:left="1134" w:header="709" w:footer="709" w:gutter="0"/>
          <w:cols w:space="397"/>
          <w:docGrid w:linePitch="360"/>
        </w:sectPr>
      </w:pPr>
    </w:p>
    <w:p w:rsidR="00582042" w:rsidRPr="005A7B7B" w:rsidRDefault="00582042" w:rsidP="00DE314B">
      <w:pPr>
        <w:pStyle w:val="SRTextnomal"/>
      </w:pPr>
      <w:bookmarkStart w:id="138" w:name="_Toc52369868"/>
      <w:r w:rsidRPr="005A7B7B">
        <w:t>Ke snížení oproti rozpočtu na rok 2024 dochází u neinvestičních transferů soukromoprávním osobám. Naopak stoupají zejména výdaje na neinvestiční transfery fyzickým osobám a neinvestiční nákupy.</w:t>
      </w:r>
    </w:p>
    <w:p w:rsidR="00582042" w:rsidRPr="005A7B7B" w:rsidRDefault="00582042" w:rsidP="00582042">
      <w:pPr>
        <w:pStyle w:val="SRTextnomal"/>
      </w:pPr>
      <w:r w:rsidRPr="005A7B7B">
        <w:t xml:space="preserve">Výdaje na </w:t>
      </w:r>
      <w:r w:rsidRPr="005A7B7B">
        <w:rPr>
          <w:b/>
        </w:rPr>
        <w:t>platy a podobné a související výdaje</w:t>
      </w:r>
      <w:r w:rsidRPr="005A7B7B">
        <w:t xml:space="preserve"> organizačních složek státu včetně povinného zákonného pojistného placeného zaměstnavatelem dosahují objemu 170 mld. Kč.</w:t>
      </w:r>
    </w:p>
    <w:p w:rsidR="00582042" w:rsidRPr="005A7B7B" w:rsidRDefault="00582042" w:rsidP="00582042">
      <w:pPr>
        <w:pStyle w:val="SRTextnomal"/>
      </w:pPr>
      <w:r w:rsidRPr="005A7B7B">
        <w:rPr>
          <w:b/>
        </w:rPr>
        <w:t>Transfery</w:t>
      </w:r>
      <w:r w:rsidRPr="005A7B7B">
        <w:t xml:space="preserve"> tvoří 80,2 % běžných výdajů státního rozpočtu. Většina celkového objemu (92 %) neinvestičních transferů je rozpočtována v kapitolách Ministerstvo práce a sociálních věcí, Ministerstvo školství, mládeže tělovýchovy, Všeobecná pokladní správa, Ministerstvo zemědělství a Ministerstvo průmyslu a obchodu. </w:t>
      </w:r>
    </w:p>
    <w:p w:rsidR="00582042" w:rsidRPr="005A7B7B" w:rsidRDefault="00582042" w:rsidP="00582042">
      <w:pPr>
        <w:pStyle w:val="SRTextnomal"/>
      </w:pPr>
      <w:r w:rsidRPr="005A7B7B">
        <w:t>N</w:t>
      </w:r>
      <w:r w:rsidRPr="005A7B7B">
        <w:rPr>
          <w:b/>
        </w:rPr>
        <w:t xml:space="preserve">einvestiční transfery fyzickým osobám </w:t>
      </w:r>
      <w:r w:rsidRPr="005A7B7B">
        <w:t>činí 45,2 % celkového objemu běžných výdajů a 94,8 % z nich je rozpočtováno v kapitole Ministerstvo práce a sociálních věcí (na důchody, příspěvky na péči, rodičovské příspěvky, nemocenské a ostatní dávky a podpory v sociálním zabezpečení).</w:t>
      </w:r>
    </w:p>
    <w:p w:rsidR="00582042" w:rsidRPr="005A7B7B" w:rsidRDefault="00582042" w:rsidP="00582042">
      <w:pPr>
        <w:pStyle w:val="SRTextnomal"/>
      </w:pPr>
      <w:r w:rsidRPr="005A7B7B">
        <w:t xml:space="preserve">Významných objemů dosahují transfery fyzickým osobám i v kapitolách Všeobecná pokladní správa (výdaje na podporu stavebního spoření a státní příspěvky na důchodové připojištění), Ministerstvo </w:t>
      </w:r>
      <w:r w:rsidRPr="005A7B7B">
        <w:t>obrany, Ministerstvo vnitra a Ministerstvo spravedlnosti (starobní důchody a výsluhové příspěvky, stabilizační a služební příspěvky).</w:t>
      </w:r>
    </w:p>
    <w:p w:rsidR="00582042" w:rsidRPr="005A7B7B" w:rsidRDefault="00582042" w:rsidP="00582042">
      <w:pPr>
        <w:pStyle w:val="SRTextnomal"/>
      </w:pPr>
      <w:r w:rsidRPr="005A7B7B">
        <w:rPr>
          <w:b/>
        </w:rPr>
        <w:t>Neinvestiční transfery veřejnoprávním osobám</w:t>
      </w:r>
      <w:r w:rsidRPr="005A7B7B">
        <w:t xml:space="preserve"> sestávají:</w:t>
      </w:r>
    </w:p>
    <w:p w:rsidR="00582042" w:rsidRPr="005A7B7B" w:rsidRDefault="00582042" w:rsidP="00582042">
      <w:pPr>
        <w:pStyle w:val="SROdrka1"/>
      </w:pPr>
      <w:r w:rsidRPr="005A7B7B">
        <w:t>ze 45,6 % z  transferů územním samosprávám:</w:t>
      </w:r>
    </w:p>
    <w:p w:rsidR="00582042" w:rsidRPr="005A7B7B" w:rsidRDefault="00582042" w:rsidP="00582042">
      <w:pPr>
        <w:pStyle w:val="SROdrka2"/>
      </w:pPr>
      <w:r w:rsidRPr="005A7B7B">
        <w:t xml:space="preserve">z kapitoly Ministerstvo školství, mládeže a tělovýchovy – na platy a učební pomůcky pro mateřské, základní a střední školy, </w:t>
      </w:r>
    </w:p>
    <w:p w:rsidR="00582042" w:rsidRPr="005A7B7B" w:rsidRDefault="00582042" w:rsidP="00582042">
      <w:pPr>
        <w:pStyle w:val="SROdrka2"/>
      </w:pPr>
      <w:r w:rsidRPr="005A7B7B">
        <w:t xml:space="preserve">z kapitoly Ministerstvo práce a sociálních věcí na služby a činnosti v oblasti sociální péče, </w:t>
      </w:r>
    </w:p>
    <w:p w:rsidR="00582042" w:rsidRPr="005A7B7B" w:rsidRDefault="00582042" w:rsidP="00582042">
      <w:pPr>
        <w:pStyle w:val="SROdrka2"/>
      </w:pPr>
      <w:r w:rsidRPr="005A7B7B">
        <w:t>z kapitoly Všeobecná pokladní správa - výdaje v rámci finančních vztahů k rozpočtům krajů a obcí a k rozpočtu hl. m. Prahy a na zajištění voleb;</w:t>
      </w:r>
    </w:p>
    <w:p w:rsidR="00582042" w:rsidRPr="005A7B7B" w:rsidRDefault="00582042" w:rsidP="00582042">
      <w:pPr>
        <w:pStyle w:val="SROdrka2"/>
      </w:pPr>
      <w:r w:rsidRPr="005A7B7B">
        <w:t>z kapitoly Ministerstvo dopravy na dopravní obslužnost;</w:t>
      </w:r>
    </w:p>
    <w:p w:rsidR="00582042" w:rsidRPr="005A7B7B" w:rsidRDefault="00582042" w:rsidP="00582042">
      <w:pPr>
        <w:pStyle w:val="SROdrka2"/>
      </w:pPr>
      <w:r w:rsidRPr="005A7B7B">
        <w:t>z kapitoly Ministerstvo kultury na zachování a obnovu kulturních památek a na divadelní, hudební a knihovnické činnosti a na muzea a galerie.</w:t>
      </w:r>
    </w:p>
    <w:p w:rsidR="00582042" w:rsidRPr="005A7B7B" w:rsidRDefault="00582042" w:rsidP="00582042">
      <w:pPr>
        <w:pStyle w:val="SROdrka1"/>
      </w:pPr>
      <w:r w:rsidRPr="005A7B7B">
        <w:t xml:space="preserve">z 38,1 % z transferů veřejným rozpočtům ústřední úrovně (největší položkou je platba státu na pojistné zdravotního pojištění z kapitoly Všeobecná pokladní </w:t>
      </w:r>
      <w:r w:rsidRPr="005A7B7B">
        <w:lastRenderedPageBreak/>
        <w:t>správa a dále transfery státním fondům z kapitol Ministerstvo zemědělství a Ministerstvo dopravy);</w:t>
      </w:r>
    </w:p>
    <w:p w:rsidR="00582042" w:rsidRPr="005A7B7B" w:rsidRDefault="00582042" w:rsidP="00582042">
      <w:pPr>
        <w:pStyle w:val="SROdrka1"/>
      </w:pPr>
      <w:r w:rsidRPr="005A7B7B">
        <w:t>z 16,3 % z transferů příspěvkovým a podobným organizacím (nejvyšších hodnot dosahují v rozpočtu Ministerstva školství, mládeže a tělovýchovy, Ministerstva kultury, Akademie věd České republiky, Grantové agentury České republiky a ministerstev obrany a zdravotnictví).</w:t>
      </w:r>
    </w:p>
    <w:p w:rsidR="00582042" w:rsidRPr="005A7B7B" w:rsidRDefault="00582042" w:rsidP="00DE314B">
      <w:pPr>
        <w:pStyle w:val="SRTextnomal"/>
      </w:pPr>
      <w:r w:rsidRPr="005A7B7B">
        <w:rPr>
          <w:b/>
        </w:rPr>
        <w:t>Neinvestiční transfery soukromoprávním osobám</w:t>
      </w:r>
      <w:r w:rsidRPr="005A7B7B">
        <w:t xml:space="preserve"> jsou zejména součástí rozpočtu ministerstev průmyslu a obchodu, práce a sociálních věcí, školství, mládeže a tělovýchovy, dopravy, zemědělství a kultury a dále kapitol Národní sportovní agentura a Technologická agentura České republiky. Jedná se o transfery prostředků státního rozpočtu podnikatelským subjektům, spolkům, církvím a podobným organizacím. Patří sem mj. příspěvky zaměstnavatelům </w:t>
      </w:r>
      <w:r w:rsidRPr="005A7B7B">
        <w:t xml:space="preserve">zaměstnávajícím osoby se zdravotním postižením, podpora úspor energie a obnovitelných zdrojů, podpora soukromých a církevních škol a sportu, výzkumu a vývoje. </w:t>
      </w:r>
    </w:p>
    <w:p w:rsidR="00582042" w:rsidRPr="005A7B7B" w:rsidRDefault="00582042" w:rsidP="00582042">
      <w:pPr>
        <w:pStyle w:val="SRTextnomal"/>
      </w:pPr>
      <w:r w:rsidRPr="005A7B7B">
        <w:rPr>
          <w:b/>
        </w:rPr>
        <w:t>Neinvestiční transfery do zahraničí</w:t>
      </w:r>
      <w:r w:rsidRPr="005A7B7B">
        <w:t xml:space="preserve"> jsou rozpočtovány především v kapitole Všeobecná pokladní správa, zejména výdaje na odvody vlastních zdrojů Evropské unie do rozpočtu Evropské unie. Dále jsou rozpočtovány příspěvky mezinárodním organizacím a zahraniční pomoc včetně pomoci humanitární.</w:t>
      </w:r>
    </w:p>
    <w:p w:rsidR="00582042" w:rsidRPr="005A7B7B" w:rsidRDefault="00582042" w:rsidP="00582042">
      <w:pPr>
        <w:pStyle w:val="SRTextnomal"/>
      </w:pPr>
      <w:r w:rsidRPr="005A7B7B">
        <w:rPr>
          <w:b/>
        </w:rPr>
        <w:t>Neinvestiční nákupy a související výdaje</w:t>
      </w:r>
      <w:r w:rsidRPr="005A7B7B">
        <w:t xml:space="preserve"> se v  rozpočtu na rok 2025 zvyšují o 22,2 mld. Kč oproti schválenému rozpočtu 2024. </w:t>
      </w:r>
    </w:p>
    <w:p w:rsidR="00E03D25" w:rsidRDefault="00582042" w:rsidP="00582042">
      <w:pPr>
        <w:pStyle w:val="SRTextnomal"/>
      </w:pPr>
      <w:r w:rsidRPr="005A7B7B">
        <w:t>Odvětvový pohled na výdaje je podrobně popsán v návrzích rozpočtů jednotlivých kapitol, které předkládají jejich správci výborům Poslanecké sněmovny Parlamentu ČR.</w:t>
      </w:r>
    </w:p>
    <w:p w:rsidR="00DE314B" w:rsidRPr="005A7B7B" w:rsidRDefault="00DE314B" w:rsidP="00582042">
      <w:pPr>
        <w:pStyle w:val="SRTextnomal"/>
      </w:pPr>
    </w:p>
    <w:p w:rsidR="005711A0" w:rsidRPr="005A7B7B" w:rsidRDefault="005711A0" w:rsidP="00671AAF">
      <w:pPr>
        <w:pStyle w:val="SRNadpis3"/>
        <w:sectPr w:rsidR="005711A0" w:rsidRPr="005A7B7B" w:rsidSect="00187B06">
          <w:type w:val="continuous"/>
          <w:pgSz w:w="11906" w:h="16838" w:code="9"/>
          <w:pgMar w:top="1134" w:right="1134" w:bottom="1134" w:left="1134" w:header="709" w:footer="709" w:gutter="0"/>
          <w:cols w:num="2" w:space="709"/>
          <w:docGrid w:linePitch="360"/>
        </w:sectPr>
      </w:pPr>
    </w:p>
    <w:p w:rsidR="005711A0" w:rsidRPr="005A7B7B" w:rsidRDefault="005711A0" w:rsidP="00671AAF">
      <w:pPr>
        <w:pStyle w:val="SRNadpis3"/>
      </w:pPr>
      <w:bookmarkStart w:id="139" w:name="_Toc175913899"/>
      <w:r w:rsidRPr="005A7B7B">
        <w:t>Běžné výdaje na provoz organizačních složek státu</w:t>
      </w:r>
      <w:bookmarkEnd w:id="138"/>
      <w:bookmarkEnd w:id="139"/>
    </w:p>
    <w:p w:rsidR="005711A0" w:rsidRPr="005A7B7B" w:rsidRDefault="005711A0" w:rsidP="005711A0">
      <w:pPr>
        <w:sectPr w:rsidR="005711A0" w:rsidRPr="005A7B7B" w:rsidSect="00187B06">
          <w:type w:val="continuous"/>
          <w:pgSz w:w="11906" w:h="16838" w:code="9"/>
          <w:pgMar w:top="1134" w:right="1134" w:bottom="1134" w:left="1134" w:header="709" w:footer="709" w:gutter="0"/>
          <w:cols w:space="397"/>
          <w:docGrid w:linePitch="360"/>
        </w:sectPr>
      </w:pPr>
    </w:p>
    <w:p w:rsidR="005711A0" w:rsidRDefault="00582042" w:rsidP="00DE314B">
      <w:pPr>
        <w:pStyle w:val="SRTextnomal"/>
      </w:pPr>
      <w:r w:rsidRPr="005A7B7B">
        <w:t xml:space="preserve">Výdaje na provoz organizačních složek státu (dále jen „užší běžné výdaje“) jsou součástí neinvestičních nákupů a ostatních neinvestičních výdajů státního rozpočtu. Jedná se o nákupy materiálu, vody, paliv, energie a služeb, nájemné, cestovné a ostatní nákupy a výdaje jinde nezařazené. V rozpočtu na rok 2025 dosahují tyto výdaje </w:t>
      </w:r>
      <w:r w:rsidRPr="005A7B7B">
        <w:t>(bez kapitol Všeobecná pokladní správa, Operace státních finančních aktiv a Státní dluh) objemu 98,2 mld. Kč a jejich podíl na celkových běžných výdajích činí 4,8 %. Objemově nejvýznamnější jsou nákupy služeb.</w:t>
      </w:r>
    </w:p>
    <w:p w:rsidR="00DE314B" w:rsidRPr="005A7B7B" w:rsidRDefault="00DE314B" w:rsidP="00DE314B">
      <w:pPr>
        <w:pStyle w:val="SRTextnomal"/>
      </w:pPr>
    </w:p>
    <w:p w:rsidR="005711A0" w:rsidRPr="005A7B7B" w:rsidRDefault="005711A0" w:rsidP="000D440D">
      <w:pPr>
        <w:pStyle w:val="SRTitulek1"/>
        <w:sectPr w:rsidR="005711A0" w:rsidRPr="005A7B7B" w:rsidSect="00187B06">
          <w:type w:val="continuous"/>
          <w:pgSz w:w="11906" w:h="16838" w:code="9"/>
          <w:pgMar w:top="1134" w:right="1134" w:bottom="1134" w:left="1134" w:header="709" w:footer="709" w:gutter="0"/>
          <w:cols w:num="2" w:space="397"/>
          <w:docGrid w:linePitch="360"/>
        </w:sectPr>
      </w:pPr>
    </w:p>
    <w:p w:rsidR="005711A0" w:rsidRPr="005A7B7B" w:rsidRDefault="005711A0" w:rsidP="000D440D">
      <w:pPr>
        <w:pStyle w:val="SRTitulek1"/>
      </w:pPr>
      <w:bookmarkStart w:id="140" w:name="_Toc175913969"/>
      <w:r w:rsidRPr="005A7B7B">
        <w:t xml:space="preserve">Graf </w:t>
      </w:r>
      <w:fldSimple w:instr=" SEQ Graf \* ARABIC ">
        <w:r w:rsidR="0010122A">
          <w:rPr>
            <w:noProof/>
          </w:rPr>
          <w:t>15</w:t>
        </w:r>
      </w:fldSimple>
      <w:r w:rsidRPr="005A7B7B">
        <w:t xml:space="preserve"> Druhová struktura užších běžných výdajů ve státním rozpočtu</w:t>
      </w:r>
      <w:bookmarkEnd w:id="140"/>
    </w:p>
    <w:p w:rsidR="00582042" w:rsidRPr="005A7B7B" w:rsidRDefault="00582042" w:rsidP="000D440D">
      <w:pPr>
        <w:pStyle w:val="SRTitulek1"/>
        <w:sectPr w:rsidR="00582042" w:rsidRPr="005A7B7B" w:rsidSect="00187B06">
          <w:type w:val="continuous"/>
          <w:pgSz w:w="11906" w:h="16838" w:code="9"/>
          <w:pgMar w:top="1134" w:right="1134" w:bottom="1134" w:left="1134" w:header="709" w:footer="709" w:gutter="0"/>
          <w:cols w:space="397"/>
          <w:docGrid w:linePitch="360"/>
        </w:sectPr>
      </w:pPr>
    </w:p>
    <w:p w:rsidR="00344C5A" w:rsidRPr="005A7B7B" w:rsidRDefault="00375E48" w:rsidP="002C320C">
      <w:pPr>
        <w:pStyle w:val="SRTextnomal"/>
        <w:jc w:val="center"/>
      </w:pPr>
      <w:r w:rsidRPr="005A7B7B">
        <w:rPr>
          <w:noProof/>
        </w:rPr>
        <w:drawing>
          <wp:inline distT="0" distB="0" distL="0" distR="0">
            <wp:extent cx="5223510" cy="3044825"/>
            <wp:effectExtent l="0" t="0" r="0" b="0"/>
            <wp:docPr id="267"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23510" cy="3044825"/>
                    </a:xfrm>
                    <a:prstGeom prst="rect">
                      <a:avLst/>
                    </a:prstGeom>
                    <a:noFill/>
                  </pic:spPr>
                </pic:pic>
              </a:graphicData>
            </a:graphic>
          </wp:inline>
        </w:drawing>
      </w:r>
    </w:p>
    <w:p w:rsidR="00D72096" w:rsidRDefault="00D72096" w:rsidP="00DE314B">
      <w:pPr>
        <w:pStyle w:val="SRTextnomal"/>
        <w:sectPr w:rsidR="00D72096" w:rsidSect="00187B06">
          <w:type w:val="continuous"/>
          <w:pgSz w:w="11906" w:h="16838" w:code="9"/>
          <w:pgMar w:top="1134" w:right="1134" w:bottom="1134" w:left="1134" w:header="709" w:footer="709" w:gutter="0"/>
          <w:cols w:space="397"/>
          <w:docGrid w:linePitch="360"/>
        </w:sectPr>
      </w:pPr>
    </w:p>
    <w:p w:rsidR="00344C5A" w:rsidRDefault="00344C5A" w:rsidP="00DE314B">
      <w:pPr>
        <w:pStyle w:val="SRTextnomal"/>
      </w:pPr>
    </w:p>
    <w:p w:rsidR="00DE314B" w:rsidRPr="005A7B7B" w:rsidRDefault="00DE314B" w:rsidP="00DE314B">
      <w:pPr>
        <w:pStyle w:val="SRTextnomal"/>
      </w:pPr>
    </w:p>
    <w:p w:rsidR="00344C5A" w:rsidRPr="005A7B7B" w:rsidRDefault="00344C5A" w:rsidP="00DE314B">
      <w:pPr>
        <w:pStyle w:val="SRTextnomal"/>
        <w:rPr>
          <w:b/>
        </w:rPr>
        <w:sectPr w:rsidR="00344C5A" w:rsidRPr="005A7B7B" w:rsidSect="00187B06">
          <w:type w:val="continuous"/>
          <w:pgSz w:w="11906" w:h="16838" w:code="9"/>
          <w:pgMar w:top="1134" w:right="1134" w:bottom="1134" w:left="1134" w:header="709" w:footer="709" w:gutter="0"/>
          <w:cols w:space="397"/>
          <w:docGrid w:linePitch="360"/>
        </w:sectPr>
      </w:pPr>
    </w:p>
    <w:p w:rsidR="00860C5C" w:rsidRPr="005A7B7B" w:rsidRDefault="00860C5C" w:rsidP="00DE314B">
      <w:pPr>
        <w:pStyle w:val="SRTextnomal"/>
      </w:pPr>
      <w:r w:rsidRPr="005A7B7B">
        <w:t xml:space="preserve">Oproti rozpočtu na rok 2024 se užší běžné výdaje zvyšují o 21,1 %. Nejvyšší dynamiku vykazují výdaje na nákup materiálu a ostatní nákupy. Naopak </w:t>
      </w:r>
      <w:r w:rsidRPr="00DE314B">
        <w:t>klesají</w:t>
      </w:r>
      <w:r w:rsidRPr="005A7B7B">
        <w:t xml:space="preserve"> tzv. ostatní neinvestiční výdaje.</w:t>
      </w:r>
    </w:p>
    <w:p w:rsidR="00860C5C" w:rsidRPr="005A7B7B" w:rsidRDefault="00860C5C" w:rsidP="00DE314B">
      <w:pPr>
        <w:pStyle w:val="SRTextnomal"/>
        <w:rPr>
          <w:color w:val="000000"/>
        </w:rPr>
      </w:pPr>
      <w:r w:rsidRPr="005A7B7B">
        <w:t xml:space="preserve">Nárůst vyplývá ze zvýšení výdajů na obranu, bezpečnost, civilní připravenost na krizové stavy, požární ochranu a integrovaný záchranný systém a na právní ochranu </w:t>
      </w:r>
      <w:r w:rsidRPr="005A7B7B">
        <w:t>v kapitolách ministerstev obrany, vnitra a spravedlnosti a v kapitole Správa státních hmotných rezerv. Výdaje se výrazně zvyšují i v politice zaměstnanosti (o 1,9 mld. Kč) a v sociálních službách (o 0,8 mld. Kč), v obou případech v rozpočtu Ministerstva práce a sociálních věcí. Je to dáno</w:t>
      </w:r>
      <w:r w:rsidRPr="005A7B7B">
        <w:rPr>
          <w:color w:val="000000"/>
        </w:rPr>
        <w:t xml:space="preserve"> EU podílem v rámci komponenty 3.3. Národního plánu obnovy, kdy v roce 2025 bude Úřad práce ČR poskytovat </w:t>
      </w:r>
      <w:r w:rsidRPr="005A7B7B">
        <w:rPr>
          <w:color w:val="000000"/>
        </w:rPr>
        <w:lastRenderedPageBreak/>
        <w:t xml:space="preserve">Příspěvek na podporu rozvoje digitálních kompetencí a podpory digitálního vzdělávání v rámci nástrojů a opatření aktivní politiky zaměstnanosti. </w:t>
      </w:r>
    </w:p>
    <w:p w:rsidR="00344C5A" w:rsidRPr="005A7B7B" w:rsidRDefault="00860C5C" w:rsidP="00DE314B">
      <w:pPr>
        <w:pStyle w:val="SRTextnomal"/>
      </w:pPr>
      <w:r w:rsidRPr="005A7B7B">
        <w:t>Důvodem nárůstu výdajů je též realizace projektu „Potravinová a materiální</w:t>
      </w:r>
      <w:r w:rsidR="0074001B" w:rsidRPr="005A7B7B">
        <w:t xml:space="preserve"> pomoc nejchudším osobám“ (tzv. </w:t>
      </w:r>
      <w:r w:rsidRPr="005A7B7B">
        <w:t>POMPO) v rámci Operačního programu Zaměstnanost plus.</w:t>
      </w:r>
    </w:p>
    <w:p w:rsidR="005711A0" w:rsidRPr="005A7B7B" w:rsidRDefault="005711A0" w:rsidP="005711A0">
      <w:pPr>
        <w:sectPr w:rsidR="005711A0" w:rsidRPr="005A7B7B" w:rsidSect="00187B06">
          <w:type w:val="continuous"/>
          <w:pgSz w:w="11906" w:h="16838" w:code="9"/>
          <w:pgMar w:top="1134" w:right="1134" w:bottom="1134" w:left="1134" w:header="709" w:footer="709" w:gutter="0"/>
          <w:cols w:num="2" w:space="397"/>
          <w:docGrid w:linePitch="360"/>
        </w:sectPr>
      </w:pPr>
    </w:p>
    <w:p w:rsidR="005711A0" w:rsidRPr="005A7B7B" w:rsidRDefault="005711A0" w:rsidP="000D440D">
      <w:pPr>
        <w:pStyle w:val="SRTitulek1"/>
        <w:rPr>
          <w:i/>
        </w:rPr>
      </w:pPr>
      <w:bookmarkStart w:id="141" w:name="_Toc80264009"/>
      <w:bookmarkStart w:id="142" w:name="_Toc175913942"/>
      <w:r w:rsidRPr="005A7B7B">
        <w:t xml:space="preserve">Tabulka </w:t>
      </w:r>
      <w:fldSimple w:instr=" SEQ Tabulka \* ARABIC ">
        <w:r w:rsidR="0010122A">
          <w:rPr>
            <w:noProof/>
          </w:rPr>
          <w:t>20</w:t>
        </w:r>
      </w:fldSimple>
      <w:r w:rsidRPr="005A7B7B">
        <w:t xml:space="preserve"> Užší běžné výdaje organizačních složek státu v členění dle druhu výdajů </w:t>
      </w:r>
      <w:r w:rsidRPr="005A7B7B">
        <w:rPr>
          <w:i/>
        </w:rPr>
        <w:t>(v mil. Kč)</w:t>
      </w:r>
      <w:bookmarkEnd w:id="141"/>
      <w:bookmarkEnd w:id="142"/>
    </w:p>
    <w:p w:rsidR="00D60C9E" w:rsidRDefault="00375E48" w:rsidP="00DB1D3D">
      <w:pPr>
        <w:pStyle w:val="SRTextnomal"/>
      </w:pPr>
      <w:r w:rsidRPr="00DB1D3D">
        <w:rPr>
          <w:noProof/>
        </w:rPr>
        <w:drawing>
          <wp:inline distT="0" distB="0" distL="0" distR="0">
            <wp:extent cx="6115050" cy="78676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7867650"/>
                    </a:xfrm>
                    <a:prstGeom prst="rect">
                      <a:avLst/>
                    </a:prstGeom>
                    <a:noFill/>
                    <a:ln>
                      <a:noFill/>
                    </a:ln>
                  </pic:spPr>
                </pic:pic>
              </a:graphicData>
            </a:graphic>
          </wp:inline>
        </w:drawing>
      </w:r>
    </w:p>
    <w:p w:rsidR="00E82CF1" w:rsidRDefault="00E82CF1" w:rsidP="00DB1D3D">
      <w:pPr>
        <w:pStyle w:val="SRTextnomal"/>
        <w:sectPr w:rsidR="00E82CF1" w:rsidSect="00187B06">
          <w:type w:val="continuous"/>
          <w:pgSz w:w="11906" w:h="16838" w:code="9"/>
          <w:pgMar w:top="1134" w:right="1134" w:bottom="1134" w:left="1134" w:header="709" w:footer="709" w:gutter="0"/>
          <w:cols w:space="397"/>
          <w:docGrid w:linePitch="360"/>
        </w:sectPr>
      </w:pPr>
    </w:p>
    <w:p w:rsidR="00E82CF1" w:rsidRPr="005A7B7B" w:rsidRDefault="00E82CF1" w:rsidP="00DB1D3D">
      <w:pPr>
        <w:pStyle w:val="SRTextnomal"/>
      </w:pPr>
    </w:p>
    <w:p w:rsidR="005711A0" w:rsidRPr="005A7B7B" w:rsidRDefault="005711A0" w:rsidP="00DB1D3D">
      <w:pPr>
        <w:pStyle w:val="SRTextnomal"/>
        <w:rPr>
          <w:b/>
        </w:rPr>
        <w:sectPr w:rsidR="005711A0" w:rsidRPr="005A7B7B" w:rsidSect="00187B06">
          <w:type w:val="continuous"/>
          <w:pgSz w:w="11906" w:h="16838" w:code="9"/>
          <w:pgMar w:top="1134" w:right="1134" w:bottom="1134" w:left="1134" w:header="709" w:footer="709" w:gutter="0"/>
          <w:cols w:space="397"/>
          <w:docGrid w:linePitch="360"/>
        </w:sectPr>
      </w:pPr>
    </w:p>
    <w:p w:rsidR="000C58A6" w:rsidRPr="005A7B7B" w:rsidRDefault="000C58A6" w:rsidP="000C58A6">
      <w:pPr>
        <w:pStyle w:val="SRTextnomal"/>
      </w:pPr>
      <w:r w:rsidRPr="005A7B7B">
        <w:rPr>
          <w:b/>
        </w:rPr>
        <w:lastRenderedPageBreak/>
        <w:t>Nákupy materiálu</w:t>
      </w:r>
      <w:r w:rsidRPr="005A7B7B">
        <w:t xml:space="preserve"> jsou rozpočtovány ve výši 20,7 mld. Kč, ve srovnání s rokem 2024 vzrůstají o 36 %. Nejvýznamnějšími položkami jsou: </w:t>
      </w:r>
    </w:p>
    <w:p w:rsidR="000C58A6" w:rsidRPr="005A7B7B" w:rsidRDefault="000C58A6" w:rsidP="000C58A6">
      <w:pPr>
        <w:pStyle w:val="SROdrka1"/>
      </w:pPr>
      <w:r w:rsidRPr="005A7B7B">
        <w:t>nákup materiálu jinde nezařazený o celkovém objemu 13,7 mld. Kč. Nejvyšší výdaje zde rozpočtuje Ministerstvo obrany (10,0 mld. Kč) a Ministerstvo vnitra (2,3 mld. Kč);</w:t>
      </w:r>
    </w:p>
    <w:p w:rsidR="000C58A6" w:rsidRPr="005A7B7B" w:rsidRDefault="000C58A6" w:rsidP="000C58A6">
      <w:pPr>
        <w:pStyle w:val="SROdrka1"/>
      </w:pPr>
      <w:r w:rsidRPr="005A7B7B">
        <w:t>léky a zdravotnický materiál s celkovými výdaji 0,7 mld. Kč, z toho 0,5 mld.</w:t>
      </w:r>
      <w:r w:rsidRPr="005A7B7B">
        <w:rPr>
          <w:shd w:val="clear" w:color="auto" w:fill="FFFFFF"/>
        </w:rPr>
        <w:t xml:space="preserve"> Kč rozpočtuje</w:t>
      </w:r>
      <w:r w:rsidRPr="005A7B7B">
        <w:t xml:space="preserve"> Ministerstvo zdravotnictví; </w:t>
      </w:r>
    </w:p>
    <w:p w:rsidR="000C58A6" w:rsidRPr="005A7B7B" w:rsidRDefault="000C58A6" w:rsidP="000C58A6">
      <w:pPr>
        <w:pStyle w:val="SROdrka1"/>
      </w:pPr>
      <w:r w:rsidRPr="005A7B7B">
        <w:t>drobný hmotný dlouhodobý majetek o celkových výdajích 2,4 mld. Kč. Nejvyššího objemu dosahuje tato položka v rozpočtu ministerstev obrany (1,5 mld. Kč) a vnitra (0,2 mld. Kč);</w:t>
      </w:r>
    </w:p>
    <w:p w:rsidR="000C58A6" w:rsidRPr="005A7B7B" w:rsidRDefault="000C58A6" w:rsidP="000C58A6">
      <w:pPr>
        <w:pStyle w:val="SROdrka1"/>
      </w:pPr>
      <w:r w:rsidRPr="005A7B7B">
        <w:t>výdaje na nákup prádla, oděvů, obuvi jsou rozpočtovány v objemu 2,4 mld. Kč. Nejvyšších hodnot dosahují v rozpočtu kapitoly Ministerstvo obrany (1,9 mld. Kč) a Ministerstvo vnitra (0,3 mld. Kč);</w:t>
      </w:r>
    </w:p>
    <w:p w:rsidR="000C58A6" w:rsidRPr="005A7B7B" w:rsidRDefault="000C58A6" w:rsidP="000C58A6">
      <w:pPr>
        <w:pStyle w:val="SROdrka1"/>
      </w:pPr>
      <w:r w:rsidRPr="005A7B7B">
        <w:t>výdaje na nákup potravin o celkovém objemu 0,7 mld. Kč jsou rozpočtovány především v kapitole Ministerstvo spravedlnosti (0,6 mld. Kč)</w:t>
      </w:r>
    </w:p>
    <w:p w:rsidR="000C58A6" w:rsidRPr="005A7B7B" w:rsidRDefault="000C58A6" w:rsidP="000C58A6">
      <w:pPr>
        <w:pStyle w:val="SROdrka1"/>
      </w:pPr>
      <w:r w:rsidRPr="005A7B7B">
        <w:t xml:space="preserve">nákup zboží (za účelem dalšího prodeje) je v objemu 0,2 mld. Kč zahrnut v rozpočtu Správy státních hmotných rezerv. </w:t>
      </w:r>
    </w:p>
    <w:p w:rsidR="000C58A6" w:rsidRPr="005A7B7B" w:rsidRDefault="000C58A6" w:rsidP="000C58A6">
      <w:pPr>
        <w:pStyle w:val="SRTextnomal"/>
      </w:pPr>
      <w:r w:rsidRPr="005A7B7B">
        <w:t>Výdaje na</w:t>
      </w:r>
      <w:r w:rsidRPr="005A7B7B">
        <w:rPr>
          <w:b/>
        </w:rPr>
        <w:t xml:space="preserve"> nákup vody, paliv a energie</w:t>
      </w:r>
      <w:r w:rsidRPr="005A7B7B">
        <w:t xml:space="preserve"> jsou rozpočtovány ve výši 8,2 mld. Kč a oproti schválenému rozpočtu na rok 2024 stoupají o 15,4 %. Objemově nejvýznamnější jsou:</w:t>
      </w:r>
    </w:p>
    <w:p w:rsidR="000C58A6" w:rsidRPr="005A7B7B" w:rsidRDefault="000C58A6" w:rsidP="000C58A6">
      <w:pPr>
        <w:pStyle w:val="SROdrka1"/>
      </w:pPr>
      <w:r w:rsidRPr="005A7B7B">
        <w:t xml:space="preserve">elektrická energie o celkových výdajích 3,3 mld. Kč, nejvyšších hodnot dosahuje v rozpočtu ministerstev obrany (0,8 mld. Kč), vnitra (1,4 mld. Kč) a spravedlnosti (0,4 mld. Kč); </w:t>
      </w:r>
    </w:p>
    <w:p w:rsidR="000C58A6" w:rsidRPr="005A7B7B" w:rsidRDefault="000C58A6" w:rsidP="000C58A6">
      <w:pPr>
        <w:pStyle w:val="SROdrka1"/>
      </w:pPr>
      <w:r w:rsidRPr="005A7B7B">
        <w:t>pohonné hmoty a maziva o celkových výdajích 1,8 mld. Kč. Nejvyšší výdaje na této položce rozpočtuje Ministerstvo obrany (0,9 mld. Kč) a Ministerstvo vnitra (0,6 mld. Kč);</w:t>
      </w:r>
    </w:p>
    <w:p w:rsidR="000C58A6" w:rsidRPr="005A7B7B" w:rsidRDefault="000C58A6" w:rsidP="000C58A6">
      <w:pPr>
        <w:pStyle w:val="SROdrka1"/>
      </w:pPr>
      <w:r w:rsidRPr="005A7B7B">
        <w:t>plyn o celkových výdajích 1,1 mld. Kč, nejvyšší částky zde rozpočtuje Ministerstvo vnitra (0,4 mld. Kč) a Ministerstvo spravedlnosti (0,3 mld. Kč);</w:t>
      </w:r>
    </w:p>
    <w:p w:rsidR="000C58A6" w:rsidRPr="005A7B7B" w:rsidRDefault="000C58A6" w:rsidP="000C58A6">
      <w:pPr>
        <w:pStyle w:val="SROdrka1"/>
      </w:pPr>
      <w:r w:rsidRPr="005A7B7B">
        <w:t>teplo o celkových výdajích 1 mld. Kč, přičemž nejvíce na tuto položku vydá Ministerstvo vnitra (0,4 mld. Kč);</w:t>
      </w:r>
    </w:p>
    <w:p w:rsidR="000C58A6" w:rsidRPr="005A7B7B" w:rsidRDefault="000C58A6" w:rsidP="000C58A6">
      <w:pPr>
        <w:pStyle w:val="SROdrka1"/>
      </w:pPr>
      <w:r w:rsidRPr="005A7B7B">
        <w:t>studená voda o celkových výdajích 0,8 mld. Kč. Nejvyšší hodnoty dosahuje tato položka v kapitole Ministerstvo spravedlnosti (0,3 mld. Kč).</w:t>
      </w:r>
    </w:p>
    <w:p w:rsidR="000C58A6" w:rsidRPr="005A7B7B" w:rsidRDefault="000C58A6" w:rsidP="000C58A6">
      <w:pPr>
        <w:pStyle w:val="SRTextnomal"/>
      </w:pPr>
      <w:r w:rsidRPr="005A7B7B">
        <w:rPr>
          <w:b/>
        </w:rPr>
        <w:t>Výdaje na nákupy služeb</w:t>
      </w:r>
      <w:r w:rsidRPr="005A7B7B">
        <w:t xml:space="preserve"> jsou rozpočtovány v objemu 47,2 mld. Kč, což o</w:t>
      </w:r>
      <w:r w:rsidR="00DB1D3D">
        <w:t>dpovídá nárůstu těchto výdajů o </w:t>
      </w:r>
      <w:r w:rsidRPr="005A7B7B">
        <w:t>20,3 % oproti schválenému rozpočtu na rok 2024. Mezi položkami nákupu služeb dominují následující:</w:t>
      </w:r>
    </w:p>
    <w:p w:rsidR="000C58A6" w:rsidRPr="005A7B7B" w:rsidRDefault="000C58A6" w:rsidP="000C58A6">
      <w:pPr>
        <w:pStyle w:val="SROdrka1"/>
      </w:pPr>
      <w:r w:rsidRPr="005A7B7B">
        <w:t xml:space="preserve">nákup ostatních služeb (24,3 mld. Kč) - nejvyšších hodnot dosahuje u kapitol Ministerstvo vnitra </w:t>
      </w:r>
      <w:r w:rsidRPr="005A7B7B">
        <w:t xml:space="preserve">(4,1 mld. Kč), Ministerstvo obrany (7 mld. Kč), Ministerstvo práce a sociálních věcí (3,6 mld. Kč), Správa státních hmotných rezerv (3,2  mld. Kč), Ministerstvo zahraničních věcí (1,2 mld. Kč) a Ministerstvo zemědělství (1,2 mld. Kč); </w:t>
      </w:r>
    </w:p>
    <w:p w:rsidR="000C58A6" w:rsidRPr="005A7B7B" w:rsidRDefault="000C58A6" w:rsidP="000C58A6">
      <w:pPr>
        <w:pStyle w:val="SROdrka1"/>
      </w:pPr>
      <w:r w:rsidRPr="005A7B7B">
        <w:t>zpracování dat a služby související s informačními a komunikačními technologiemi (celkem 12 mld. Kč) – v největších částkách je rozpočtováno u kapitol Ministerstvo vnitra (3 mld. Kč), Ministerstvo financí (1,8 mld. Kč), Ministerstvo práce a sociálních věcí (2 mld. Kč), Digitální a informační agentura (1,2 mld. Kč) a Ministerstvo obrany (1,2 mld. Kč);</w:t>
      </w:r>
    </w:p>
    <w:p w:rsidR="000C58A6" w:rsidRPr="005A7B7B" w:rsidRDefault="000C58A6" w:rsidP="000C58A6">
      <w:pPr>
        <w:pStyle w:val="SROdrka1"/>
      </w:pPr>
      <w:r w:rsidRPr="005A7B7B">
        <w:t>nájemné (3,9 mld. Kč) dosahuje nejvyšších hodnot v rozpočtu kapitol Ministerstvo obrany (1,7 mld. Kč), Ministerstvo zahraničních věcí (0,7 mld. Kč) a Ministerstvo vnitra (0,5 mld. Kč);</w:t>
      </w:r>
    </w:p>
    <w:p w:rsidR="000C58A6" w:rsidRPr="005A7B7B" w:rsidRDefault="000C58A6" w:rsidP="000C58A6">
      <w:pPr>
        <w:pStyle w:val="SROdrka1"/>
      </w:pPr>
      <w:r w:rsidRPr="005A7B7B">
        <w:t>výdaje na konzultační, poradenské a právní služby (0,9 mld. Kč) jsou zastoupeny především v kapitole Ministerstvo průmyslu a obchodu (0,1 mld. Kč) a v kapitole Ministerstvo zemědělství (0,4 mld. Kč);</w:t>
      </w:r>
    </w:p>
    <w:p w:rsidR="000C58A6" w:rsidRPr="005A7B7B" w:rsidRDefault="000C58A6" w:rsidP="000C58A6">
      <w:pPr>
        <w:pStyle w:val="SROdrka1"/>
      </w:pPr>
      <w:r w:rsidRPr="005A7B7B">
        <w:t xml:space="preserve">poštovní služby (1,6 mld. Kč) s nejvyšším objemem výdajů v kapitolách Ministerstvo práce a sociálních věcí (0,9 mld. Kč) a </w:t>
      </w:r>
      <w:r w:rsidR="00DB1D3D">
        <w:t>Ministerstvo spravedlnosti (0,3 </w:t>
      </w:r>
      <w:r w:rsidRPr="005A7B7B">
        <w:t>mld. Kč);</w:t>
      </w:r>
    </w:p>
    <w:p w:rsidR="000C58A6" w:rsidRPr="005A7B7B" w:rsidRDefault="000C58A6" w:rsidP="000C58A6">
      <w:pPr>
        <w:pStyle w:val="SROdrka1"/>
      </w:pPr>
      <w:r w:rsidRPr="005A7B7B">
        <w:t>služby elektronických komunikací (2,4 mld. Kč), kde  je významný objem výdajů rozpočtován v kapitolách Ministerstvo vnitra (1,4 mld. Kč) a Ministerstvo obrany (0,5 mld. Kč).</w:t>
      </w:r>
    </w:p>
    <w:p w:rsidR="000C58A6" w:rsidRPr="005A7B7B" w:rsidRDefault="000C58A6" w:rsidP="000C58A6">
      <w:pPr>
        <w:pStyle w:val="SRTextnomal"/>
      </w:pPr>
      <w:r w:rsidRPr="005A7B7B">
        <w:rPr>
          <w:b/>
        </w:rPr>
        <w:t>Ostatní nákupy</w:t>
      </w:r>
      <w:r w:rsidRPr="005A7B7B">
        <w:t xml:space="preserve"> dosahují ve státním rozpočtu celkového objemu 13 mld. Kč, což znamená nárůst o 30,2 % proti roku 2024. Nejvýznamnějšími položkami ostatních nákupů jsou: </w:t>
      </w:r>
    </w:p>
    <w:p w:rsidR="000C58A6" w:rsidRPr="005A7B7B" w:rsidRDefault="000C58A6" w:rsidP="000C58A6">
      <w:pPr>
        <w:pStyle w:val="SROdrka1"/>
      </w:pPr>
      <w:r w:rsidRPr="005A7B7B">
        <w:t>výdaje na opravy a udržování, rozpočtované v celkové výši 9,9 mld. Kč;  v největších objemech jsou zastoupeny v rozpočtových kapitolách Ministerstvo obrany (7,9 mld. Kč) a Ministerstvo vnitra (0,7 mld. Kč);</w:t>
      </w:r>
    </w:p>
    <w:p w:rsidR="000C58A6" w:rsidRPr="005A7B7B" w:rsidRDefault="000C58A6" w:rsidP="000C58A6">
      <w:pPr>
        <w:pStyle w:val="SROdrka1"/>
      </w:pPr>
      <w:r w:rsidRPr="005A7B7B">
        <w:t xml:space="preserve">cestovné, které činí celkem 2,2 mld. Kč. Nejvyšší částku na této položce rozpočtuje  Ministerstvo obrany (1 mld. Kč). </w:t>
      </w:r>
    </w:p>
    <w:p w:rsidR="000C58A6" w:rsidRPr="005A7B7B" w:rsidRDefault="000C58A6" w:rsidP="000C58A6">
      <w:pPr>
        <w:pStyle w:val="SRTextnomal"/>
      </w:pPr>
      <w:r w:rsidRPr="005A7B7B">
        <w:rPr>
          <w:b/>
        </w:rPr>
        <w:t>Ostatní neinvestiční výdaje</w:t>
      </w:r>
      <w:r w:rsidRPr="005A7B7B">
        <w:t xml:space="preserve"> jsou rozpočtovány v objemu 9,1 mld. Kč a klesají o 4,9 % oproti schválenému rozpočtu na rok 2024. Jedná se především o nespecifikované rezervy a o ostatní neinvestiční výdaje jinde nezařazené, kde nejvyšší hodnoty dosahuje Ministerstvo obrany.</w:t>
      </w:r>
    </w:p>
    <w:p w:rsidR="00E92F05" w:rsidRPr="005A7B7B" w:rsidRDefault="000C58A6" w:rsidP="000C58A6">
      <w:pPr>
        <w:pStyle w:val="SRTextnomal"/>
        <w:rPr>
          <w:b/>
        </w:rPr>
      </w:pPr>
      <w:r w:rsidRPr="005A7B7B">
        <w:t>Z hlediska odpovědnosti jednotlivých správců kapitol má největší podíl na čerpání užších běžných výdajů Ministerstvo obrany, dále pak Ministerstvo vnitra, Ministerstvo práce a sociálních věcí a Ministerstvo spravedlnosti.</w:t>
      </w:r>
    </w:p>
    <w:p w:rsidR="0074001B" w:rsidRPr="005A7B7B" w:rsidRDefault="0074001B" w:rsidP="001F2A1E">
      <w:pPr>
        <w:pStyle w:val="SRTextnomal"/>
        <w:rPr>
          <w:b/>
        </w:rPr>
        <w:sectPr w:rsidR="0074001B" w:rsidRPr="005A7B7B" w:rsidSect="00187B06">
          <w:type w:val="continuous"/>
          <w:pgSz w:w="11906" w:h="16838" w:code="9"/>
          <w:pgMar w:top="1134" w:right="1134" w:bottom="1134" w:left="1134" w:header="709" w:footer="709" w:gutter="0"/>
          <w:cols w:num="2" w:space="397"/>
          <w:docGrid w:linePitch="360"/>
        </w:sectPr>
      </w:pPr>
    </w:p>
    <w:p w:rsidR="005711A0" w:rsidRPr="005A7B7B" w:rsidRDefault="005711A0" w:rsidP="000D440D">
      <w:pPr>
        <w:pStyle w:val="SRTitulek1"/>
        <w:rPr>
          <w:i/>
        </w:rPr>
      </w:pPr>
      <w:bookmarkStart w:id="143" w:name="_Toc175913970"/>
      <w:r w:rsidRPr="005A7B7B">
        <w:lastRenderedPageBreak/>
        <w:t xml:space="preserve">Graf </w:t>
      </w:r>
      <w:fldSimple w:instr=" SEQ Graf \* ARABIC ">
        <w:r w:rsidR="0010122A">
          <w:rPr>
            <w:noProof/>
          </w:rPr>
          <w:t>16</w:t>
        </w:r>
      </w:fldSimple>
      <w:r w:rsidRPr="005A7B7B">
        <w:t xml:space="preserve"> Podíl jednotlivých kapitol na celkovém objemu užších běžných výdajů</w:t>
      </w:r>
      <w:bookmarkEnd w:id="143"/>
    </w:p>
    <w:p w:rsidR="002401AA" w:rsidRPr="005A7B7B" w:rsidRDefault="002401AA" w:rsidP="002401AA">
      <w:pPr>
        <w:pStyle w:val="SRTextnomal"/>
      </w:pPr>
    </w:p>
    <w:p w:rsidR="002401AA" w:rsidRPr="005A7B7B" w:rsidRDefault="002401AA" w:rsidP="00D60C9E">
      <w:pPr>
        <w:jc w:val="center"/>
        <w:rPr>
          <w:b/>
        </w:rPr>
        <w:sectPr w:rsidR="002401AA" w:rsidRPr="005A7B7B" w:rsidSect="00187B06">
          <w:type w:val="continuous"/>
          <w:pgSz w:w="11906" w:h="16838" w:code="9"/>
          <w:pgMar w:top="1134" w:right="1134" w:bottom="1134" w:left="1134" w:header="709" w:footer="709" w:gutter="0"/>
          <w:cols w:space="397"/>
          <w:docGrid w:linePitch="360"/>
        </w:sectPr>
      </w:pPr>
    </w:p>
    <w:p w:rsidR="000D3C03" w:rsidRPr="00755DA7" w:rsidRDefault="00010F62" w:rsidP="002C320C">
      <w:pPr>
        <w:pStyle w:val="SRTextnomal"/>
        <w:jc w:val="center"/>
      </w:pPr>
      <w:r>
        <w:rPr>
          <w:noProof/>
        </w:rPr>
        <w:drawing>
          <wp:inline distT="0" distB="0" distL="0" distR="0" wp14:anchorId="1445E808">
            <wp:extent cx="4831200" cy="3059912"/>
            <wp:effectExtent l="0" t="0" r="7620" b="762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38582" cy="3064588"/>
                    </a:xfrm>
                    <a:prstGeom prst="rect">
                      <a:avLst/>
                    </a:prstGeom>
                    <a:noFill/>
                  </pic:spPr>
                </pic:pic>
              </a:graphicData>
            </a:graphic>
          </wp:inline>
        </w:drawing>
      </w:r>
    </w:p>
    <w:p w:rsidR="00807816" w:rsidRPr="00755DA7" w:rsidRDefault="00807816" w:rsidP="002C320C">
      <w:pPr>
        <w:pStyle w:val="SRTextnomal"/>
        <w:jc w:val="center"/>
        <w:sectPr w:rsidR="00807816" w:rsidRPr="00755DA7" w:rsidSect="00187B06">
          <w:type w:val="continuous"/>
          <w:pgSz w:w="11906" w:h="16838" w:code="9"/>
          <w:pgMar w:top="1134" w:right="1134" w:bottom="1134" w:left="1134" w:header="709" w:footer="709" w:gutter="0"/>
          <w:cols w:space="397"/>
          <w:docGrid w:linePitch="360"/>
        </w:sectPr>
      </w:pPr>
    </w:p>
    <w:p w:rsidR="00807816" w:rsidRPr="00755DA7" w:rsidRDefault="00807816" w:rsidP="00755DA7">
      <w:pPr>
        <w:pStyle w:val="SRTextnomal"/>
      </w:pPr>
    </w:p>
    <w:p w:rsidR="00FE54A1" w:rsidRPr="00755DA7" w:rsidRDefault="00FE54A1" w:rsidP="00755DA7">
      <w:pPr>
        <w:pStyle w:val="SRTextnomal"/>
        <w:sectPr w:rsidR="00FE54A1" w:rsidRPr="00755DA7" w:rsidSect="00187B06">
          <w:type w:val="continuous"/>
          <w:pgSz w:w="11906" w:h="16838" w:code="9"/>
          <w:pgMar w:top="1134" w:right="1134" w:bottom="1134" w:left="1134" w:header="709" w:footer="709" w:gutter="0"/>
          <w:cols w:space="397"/>
          <w:docGrid w:linePitch="360"/>
        </w:sectPr>
      </w:pPr>
    </w:p>
    <w:p w:rsidR="000C58A6" w:rsidRPr="005A7B7B" w:rsidRDefault="000C58A6" w:rsidP="000C58A6">
      <w:pPr>
        <w:pStyle w:val="SRTextnomal"/>
      </w:pPr>
      <w:r w:rsidRPr="005A7B7B">
        <w:t xml:space="preserve">Objem těchto výdajů v rozpočtu na rok 2025 oproti předchozímu roku významně stoupá v kapitolách ministerstev obrany, vnitra, práce a sociálních věcí a spravedlnosti. V kapitole Ministerstvo obrany se projevují především očekávané zvýšené výdaje na nákupy materiálu, na služby elektronických komunikací, na opravy a udržování a na ostatní výdaje jinde nezařazené. </w:t>
      </w:r>
      <w:r w:rsidRPr="005A7B7B">
        <w:rPr>
          <w:iCs/>
        </w:rPr>
        <w:t xml:space="preserve">Nárůst souvisí s  pořizováním nové techniky, nemovité infrastruktury a náboru personálu, kdy je třeba plánovat </w:t>
      </w:r>
      <w:r w:rsidRPr="005A7B7B">
        <w:rPr>
          <w:iCs/>
        </w:rPr>
        <w:t>odpovídající objem prostředků pro zabezpečení provozu, výcviku, údržby a oprav.</w:t>
      </w:r>
    </w:p>
    <w:p w:rsidR="00FE54A1" w:rsidRPr="005A7B7B" w:rsidRDefault="000C58A6" w:rsidP="000C58A6">
      <w:pPr>
        <w:pStyle w:val="SRTextnomal"/>
      </w:pPr>
      <w:r w:rsidRPr="005A7B7B">
        <w:rPr>
          <w:color w:val="000000"/>
        </w:rPr>
        <w:t>V působnosti Ministerstva práce a sociálních věcí je mimo vlivy zmíněné výše v této kapitole také významná potřeba realizovat opravy a údržbu budov a pokrýt zvýšení cen nájemného z důvodu aktualizace smluv (např. inflační doložky), včetně s tím souvisejících služeb (např. energie, teplo). Kvůli rozsáhlé digitalizaci agend jsou vyšší plánované výdaje na další služby ICT.</w:t>
      </w:r>
    </w:p>
    <w:p w:rsidR="00FE54A1" w:rsidRPr="005A7B7B" w:rsidRDefault="00FE54A1" w:rsidP="00F17546">
      <w:pPr>
        <w:pStyle w:val="SRTextnomal"/>
        <w:rPr>
          <w:noProof/>
        </w:rPr>
        <w:sectPr w:rsidR="00FE54A1" w:rsidRPr="005A7B7B" w:rsidSect="00187B06">
          <w:type w:val="continuous"/>
          <w:pgSz w:w="11906" w:h="16838" w:code="9"/>
          <w:pgMar w:top="1134" w:right="1134" w:bottom="1134" w:left="1134" w:header="709" w:footer="709" w:gutter="0"/>
          <w:cols w:num="2" w:space="397"/>
          <w:docGrid w:linePitch="360"/>
        </w:sectPr>
      </w:pPr>
    </w:p>
    <w:p w:rsidR="00FE54A1" w:rsidRPr="005A7B7B" w:rsidRDefault="00FE54A1" w:rsidP="00F17546">
      <w:pPr>
        <w:pStyle w:val="SRTextnomal"/>
      </w:pPr>
    </w:p>
    <w:p w:rsidR="005711A0" w:rsidRPr="005A7B7B" w:rsidRDefault="005711A0" w:rsidP="00F17546">
      <w:pPr>
        <w:pStyle w:val="SRTextnomal"/>
        <w:sectPr w:rsidR="005711A0" w:rsidRPr="005A7B7B" w:rsidSect="00187B06">
          <w:type w:val="continuous"/>
          <w:pgSz w:w="11906" w:h="16838" w:code="9"/>
          <w:pgMar w:top="1134" w:right="1134" w:bottom="1134" w:left="1134" w:header="709" w:footer="709" w:gutter="0"/>
          <w:cols w:space="397"/>
          <w:docGrid w:linePitch="360"/>
        </w:sectPr>
      </w:pPr>
    </w:p>
    <w:p w:rsidR="005711A0" w:rsidRPr="005A7B7B" w:rsidRDefault="005711A0" w:rsidP="000D440D">
      <w:pPr>
        <w:pStyle w:val="SRTitulek1"/>
      </w:pPr>
      <w:bookmarkStart w:id="144" w:name="_Toc80264010"/>
      <w:bookmarkStart w:id="145" w:name="_Toc175913943"/>
      <w:r w:rsidRPr="005A7B7B">
        <w:lastRenderedPageBreak/>
        <w:t xml:space="preserve">Tabulka </w:t>
      </w:r>
      <w:fldSimple w:instr=" SEQ Tabulka \* ARABIC ">
        <w:r w:rsidR="0010122A">
          <w:rPr>
            <w:noProof/>
          </w:rPr>
          <w:t>21</w:t>
        </w:r>
      </w:fldSimple>
      <w:r w:rsidRPr="005A7B7B">
        <w:t xml:space="preserve"> Užší běžné výdaje organizačních složek státu v členění dle kapitol (</w:t>
      </w:r>
      <w:r w:rsidRPr="005A7B7B">
        <w:rPr>
          <w:i/>
        </w:rPr>
        <w:t>v mil. Kč</w:t>
      </w:r>
      <w:r w:rsidRPr="005A7B7B">
        <w:t>)</w:t>
      </w:r>
      <w:bookmarkEnd w:id="144"/>
      <w:bookmarkEnd w:id="145"/>
    </w:p>
    <w:p w:rsidR="003952ED" w:rsidRPr="005A7B7B" w:rsidRDefault="00375E48" w:rsidP="005331A2">
      <w:pPr>
        <w:pStyle w:val="SRTextnomal"/>
      </w:pPr>
      <w:r w:rsidRPr="005A7B7B">
        <w:rPr>
          <w:noProof/>
        </w:rPr>
        <w:drawing>
          <wp:inline distT="0" distB="0" distL="0" distR="0">
            <wp:extent cx="6115050" cy="786765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7867650"/>
                    </a:xfrm>
                    <a:prstGeom prst="rect">
                      <a:avLst/>
                    </a:prstGeom>
                    <a:noFill/>
                    <a:ln>
                      <a:noFill/>
                    </a:ln>
                  </pic:spPr>
                </pic:pic>
              </a:graphicData>
            </a:graphic>
          </wp:inline>
        </w:drawing>
      </w:r>
    </w:p>
    <w:p w:rsidR="00794E74" w:rsidRPr="005A7B7B" w:rsidRDefault="00794E74" w:rsidP="005331A2">
      <w:pPr>
        <w:pStyle w:val="SRTextnomal"/>
      </w:pPr>
    </w:p>
    <w:p w:rsidR="00051B49" w:rsidRPr="005A7B7B" w:rsidRDefault="00051B49" w:rsidP="005331A2">
      <w:pPr>
        <w:pStyle w:val="SRTextnomal"/>
        <w:sectPr w:rsidR="00051B49" w:rsidRPr="005A7B7B" w:rsidSect="00187B06">
          <w:type w:val="continuous"/>
          <w:pgSz w:w="11906" w:h="16838" w:code="9"/>
          <w:pgMar w:top="1134" w:right="1134" w:bottom="1134" w:left="1134" w:header="709" w:footer="709" w:gutter="0"/>
          <w:cols w:space="397"/>
          <w:docGrid w:linePitch="360"/>
        </w:sectPr>
      </w:pPr>
    </w:p>
    <w:p w:rsidR="00E92F05" w:rsidRPr="005A7B7B" w:rsidRDefault="00E92F05" w:rsidP="00E82CF1">
      <w:pPr>
        <w:pStyle w:val="SRNadpis2"/>
        <w:keepNext w:val="0"/>
        <w:sectPr w:rsidR="00E92F05" w:rsidRPr="005A7B7B" w:rsidSect="00187B06">
          <w:type w:val="continuous"/>
          <w:pgSz w:w="11906" w:h="16838" w:code="9"/>
          <w:pgMar w:top="1134" w:right="1134" w:bottom="1134" w:left="1134" w:header="709" w:footer="709" w:gutter="0"/>
          <w:cols w:space="397"/>
          <w:docGrid w:linePitch="360"/>
        </w:sectPr>
      </w:pPr>
      <w:bookmarkStart w:id="146" w:name="_Toc52369876"/>
      <w:bookmarkEnd w:id="134"/>
    </w:p>
    <w:p w:rsidR="00315C17" w:rsidRPr="005A7B7B" w:rsidRDefault="00315C17" w:rsidP="00D06E57">
      <w:pPr>
        <w:pStyle w:val="SRNadpis2"/>
      </w:pPr>
      <w:bookmarkStart w:id="147" w:name="_Toc175913900"/>
      <w:r w:rsidRPr="005A7B7B">
        <w:lastRenderedPageBreak/>
        <w:t>Výdaje na financování programů</w:t>
      </w:r>
      <w:bookmarkEnd w:id="146"/>
      <w:bookmarkEnd w:id="147"/>
    </w:p>
    <w:p w:rsidR="00067796" w:rsidRPr="005A7B7B" w:rsidRDefault="00067796" w:rsidP="00B10007">
      <w:pPr>
        <w:pStyle w:val="Bezmezer"/>
        <w:rPr>
          <w:rFonts w:cs="Arial"/>
        </w:rPr>
        <w:sectPr w:rsidR="00067796" w:rsidRPr="005A7B7B" w:rsidSect="00187B06">
          <w:pgSz w:w="11906" w:h="16838" w:code="9"/>
          <w:pgMar w:top="1134" w:right="1134" w:bottom="1134" w:left="1134" w:header="709" w:footer="709" w:gutter="0"/>
          <w:cols w:space="397"/>
          <w:docGrid w:linePitch="360"/>
        </w:sectPr>
      </w:pPr>
    </w:p>
    <w:p w:rsidR="00E62E97" w:rsidRPr="005A7B7B" w:rsidRDefault="00E62E97" w:rsidP="00E62E97">
      <w:pPr>
        <w:pStyle w:val="SRTextnomal"/>
      </w:pPr>
      <w:r w:rsidRPr="005A7B7B">
        <w:t xml:space="preserve">Formou programového financování je v souladu s ustanovením § 12 a paragrafů souvisejících zákona č. 218/2000 Sb., o rozpočtových pravidlech, realizována většina dotačních výdajů státního rozpočtu a výdajů na správu majetku ve vlastnictví státu. </w:t>
      </w:r>
    </w:p>
    <w:p w:rsidR="00E62E97" w:rsidRPr="005A7B7B" w:rsidRDefault="00E62E97" w:rsidP="005331A2">
      <w:pPr>
        <w:pStyle w:val="SRTextnomal"/>
      </w:pPr>
      <w:r w:rsidRPr="005A7B7B">
        <w:t>Ke sledování výdajů na programové financování slouží Rozpočtový informační systém programového financování (RISPF) složený ze tří samostatných modulů. Evidenční dotační systém (EDS) je používán k obsluze oblasti investičních dotačních programů hrazených z tuzemských zdrojů SR, Rozpočtový informační systém zjednodušené evidence dotací (RIS ZED) zabezpečuje evidenční vedení programů obsahujících neinvestiční dotační akce a dotační akce financované ze zahraničních zdrojů SR (§ 12 odst. 9 a § 13 odst. 6 zákona o rozpočtových pravidlech). Výdaje státního rozpočtu určené pro rozvoj a obnovu materiálně-technické základny státu jsou vedeny v programech spravovaných v modulu Správa majetku ve vlastnictví státu (SMVS).</w:t>
      </w:r>
    </w:p>
    <w:p w:rsidR="00E62E97" w:rsidRPr="005A7B7B" w:rsidRDefault="00E62E97" w:rsidP="005331A2">
      <w:pPr>
        <w:pStyle w:val="SRTextnomal"/>
      </w:pPr>
      <w:r w:rsidRPr="005A7B7B">
        <w:t xml:space="preserve">Každý program v modulech EDS/SMVS musí mít správcem kapitoly vypracovanou a Ministerstvem financí schválenou dokumentaci programu obsahující zejména jasně nastavené a zdůvodněné cíle, bilanci potřeb a zdrojů potřebných k jejich efektivnímu dosažení a harmonogram přípravy a realizace. Konkrétní investiční akce uskutečňují oprávnění investoři na základě investičních záměrů vypracovaných v souladu </w:t>
      </w:r>
      <w:r w:rsidRPr="005A7B7B">
        <w:t>s dokumentací příslušného programu. Rozpočet programu, resp. konkrétní akce, může obsahovat nejen kapitálové, ale i související neinvestiční výdaje potřebné k dosažení stanoveného záměru. Ukazatel „</w:t>
      </w:r>
      <w:r w:rsidRPr="005A7B7B">
        <w:rPr>
          <w:i/>
        </w:rPr>
        <w:t>Výdaje vedené v informačním systému programového financování EDS/SMVS celkem“</w:t>
      </w:r>
      <w:r w:rsidRPr="005A7B7B">
        <w:t xml:space="preserve"> patří k údajům sledovaným průřezově přes všechny kapitoly. </w:t>
      </w:r>
    </w:p>
    <w:p w:rsidR="00E62E97" w:rsidRPr="005A7B7B" w:rsidRDefault="00E62E97" w:rsidP="005331A2">
      <w:pPr>
        <w:pStyle w:val="SRTextnomal"/>
      </w:pPr>
      <w:r w:rsidRPr="005A7B7B">
        <w:t xml:space="preserve">Výdaje evidované v RIS ZED nejsou součástí výše uvedeného ukazatele a oproti výdajům zahrnutým v programech vedených v modulech EDS/SMVS se na ně nevztahuje vyhláška č. 560/2006 Sb., o účasti státního rozpočtu na realizaci programů reprodukce majetku. RIS ZED je součástí RISPF od 1. ledna 2022 (zák. č. 484/2020 Sb. ze dne 27. listopadu 2020), v předchozím období byly dotace financované ze zahraničních zdrojů SR vedeny v modulu EDS, neinvestiční dotace z tuzemských zdrojů SR nebyly realizovány formou programového financování. </w:t>
      </w:r>
    </w:p>
    <w:p w:rsidR="00D270BA" w:rsidRPr="005A7B7B" w:rsidRDefault="00E62E97" w:rsidP="005331A2">
      <w:pPr>
        <w:pStyle w:val="SRTextnomal"/>
      </w:pPr>
      <w:r w:rsidRPr="005A7B7B">
        <w:t xml:space="preserve">Výdaje státního rozpočtu vedené v Rozpočtovém informačním systému programového financování jsou pro rok 2025 rozpočtovány v celkové výši 655,8 mld. Kč. Do průřezového ukazatele </w:t>
      </w:r>
      <w:r w:rsidRPr="005A7B7B">
        <w:rPr>
          <w:i/>
        </w:rPr>
        <w:t xml:space="preserve">„Výdaje vedené v informačním systému programového financování EDS/SMVS celkem“ </w:t>
      </w:r>
      <w:r w:rsidRPr="005A7B7B">
        <w:t>jsou zahrnuty výdaje ve  výši 195,4 mld. Kč. Z celkových výdajů na financování programů připadá na RIS ZED částka 460,4 mld. Kč.</w:t>
      </w:r>
    </w:p>
    <w:p w:rsidR="005F5D71" w:rsidRPr="005A7B7B" w:rsidRDefault="005F5D71" w:rsidP="000D440D">
      <w:pPr>
        <w:pStyle w:val="SRTitulek1"/>
        <w:sectPr w:rsidR="005F5D71" w:rsidRPr="005A7B7B" w:rsidSect="00187B06">
          <w:type w:val="continuous"/>
          <w:pgSz w:w="11906" w:h="16838" w:code="9"/>
          <w:pgMar w:top="1134" w:right="1134" w:bottom="1134" w:left="1134" w:header="709" w:footer="709" w:gutter="0"/>
          <w:cols w:num="2" w:space="397"/>
          <w:docGrid w:linePitch="360"/>
        </w:sectPr>
      </w:pPr>
    </w:p>
    <w:p w:rsidR="006D277C" w:rsidRPr="005A7B7B" w:rsidRDefault="006D277C" w:rsidP="00F17546">
      <w:pPr>
        <w:pStyle w:val="SRTextnomal"/>
      </w:pPr>
    </w:p>
    <w:p w:rsidR="006D277C" w:rsidRPr="005A7B7B" w:rsidRDefault="006D277C" w:rsidP="00F17546">
      <w:pPr>
        <w:pStyle w:val="SRTextnomal"/>
        <w:sectPr w:rsidR="006D277C" w:rsidRPr="005A7B7B" w:rsidSect="00187B06">
          <w:type w:val="continuous"/>
          <w:pgSz w:w="11906" w:h="16838" w:code="9"/>
          <w:pgMar w:top="1134" w:right="1134" w:bottom="1134" w:left="1134" w:header="709" w:footer="709" w:gutter="0"/>
          <w:cols w:space="397"/>
          <w:docGrid w:linePitch="360"/>
        </w:sectPr>
      </w:pPr>
    </w:p>
    <w:p w:rsidR="00A15151" w:rsidRPr="005A7B7B" w:rsidRDefault="003B6D10" w:rsidP="000D440D">
      <w:pPr>
        <w:pStyle w:val="SRTitulek1"/>
      </w:pPr>
      <w:bookmarkStart w:id="148" w:name="_Toc80264019"/>
      <w:bookmarkStart w:id="149" w:name="_Toc175913944"/>
      <w:r w:rsidRPr="005A7B7B">
        <w:t xml:space="preserve">Tabulka </w:t>
      </w:r>
      <w:fldSimple w:instr=" SEQ Tabulka \* ARABIC ">
        <w:r w:rsidR="0010122A">
          <w:rPr>
            <w:noProof/>
          </w:rPr>
          <w:t>22</w:t>
        </w:r>
      </w:fldSimple>
      <w:r w:rsidR="00624F6C" w:rsidRPr="005A7B7B">
        <w:t xml:space="preserve"> </w:t>
      </w:r>
      <w:bookmarkEnd w:id="148"/>
      <w:r w:rsidR="003952ED" w:rsidRPr="005A7B7B">
        <w:t xml:space="preserve">Celkové výdaje státního rozpočtu na financování programů </w:t>
      </w:r>
      <w:r w:rsidR="003952ED" w:rsidRPr="005A7B7B">
        <w:rPr>
          <w:i/>
        </w:rPr>
        <w:t>(v mld. Kč)</w:t>
      </w:r>
      <w:bookmarkEnd w:id="149"/>
    </w:p>
    <w:p w:rsidR="003952ED" w:rsidRPr="005331A2" w:rsidRDefault="00375E48" w:rsidP="005331A2">
      <w:pPr>
        <w:pStyle w:val="SRTextnomal"/>
      </w:pPr>
      <w:r w:rsidRPr="005331A2">
        <w:rPr>
          <w:noProof/>
        </w:rPr>
        <w:drawing>
          <wp:inline distT="0" distB="0" distL="0" distR="0">
            <wp:extent cx="4972050" cy="1552575"/>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72050" cy="1552575"/>
                    </a:xfrm>
                    <a:prstGeom prst="rect">
                      <a:avLst/>
                    </a:prstGeom>
                    <a:noFill/>
                    <a:ln>
                      <a:noFill/>
                    </a:ln>
                  </pic:spPr>
                </pic:pic>
              </a:graphicData>
            </a:graphic>
          </wp:inline>
        </w:drawing>
      </w:r>
    </w:p>
    <w:p w:rsidR="00C74E4D" w:rsidRPr="005331A2" w:rsidRDefault="00C74E4D" w:rsidP="005331A2">
      <w:pPr>
        <w:pStyle w:val="SRTextnomal"/>
        <w:sectPr w:rsidR="00C74E4D" w:rsidRPr="005331A2" w:rsidSect="00187B06">
          <w:type w:val="continuous"/>
          <w:pgSz w:w="11906" w:h="16838" w:code="9"/>
          <w:pgMar w:top="1134" w:right="1134" w:bottom="1134" w:left="1134" w:header="709" w:footer="709" w:gutter="0"/>
          <w:cols w:space="397"/>
          <w:docGrid w:linePitch="360"/>
        </w:sectPr>
      </w:pPr>
    </w:p>
    <w:p w:rsidR="003952ED" w:rsidRPr="005331A2" w:rsidRDefault="003952ED" w:rsidP="005331A2">
      <w:pPr>
        <w:pStyle w:val="SRTextnomal"/>
      </w:pPr>
    </w:p>
    <w:p w:rsidR="003952ED" w:rsidRPr="005331A2" w:rsidRDefault="003952ED" w:rsidP="005331A2">
      <w:pPr>
        <w:pStyle w:val="SRTextnomal"/>
        <w:sectPr w:rsidR="003952ED" w:rsidRPr="005331A2" w:rsidSect="00187B06">
          <w:type w:val="continuous"/>
          <w:pgSz w:w="11906" w:h="16838" w:code="9"/>
          <w:pgMar w:top="1134" w:right="1134" w:bottom="1134" w:left="1134" w:header="709" w:footer="709" w:gutter="0"/>
          <w:cols w:space="397"/>
          <w:docGrid w:linePitch="360"/>
        </w:sectPr>
      </w:pPr>
    </w:p>
    <w:p w:rsidR="00E62E97" w:rsidRPr="005A7B7B" w:rsidRDefault="00E62E97" w:rsidP="005331A2">
      <w:pPr>
        <w:pStyle w:val="SRTextnomal"/>
      </w:pPr>
      <w:r w:rsidRPr="005A7B7B">
        <w:t xml:space="preserve">Dotacím vedeným v modulech EDS a RIS ZED přísluší celkové výdaje ve výši 554,2 mld. Kč, z toho 157,1 mld. Kč investičních výdajů a 397,1 mld. Kč </w:t>
      </w:r>
      <w:r w:rsidRPr="005331A2">
        <w:t>neinvestičních</w:t>
      </w:r>
      <w:r w:rsidRPr="005A7B7B">
        <w:t xml:space="preserve"> výdajů, a do SMVS, tedy především na obnovu a pořízení dlouhodobého hmotného a nehmotného majetku státu, včetně souvisejících výdajů, je určeno 101,6 mld. Kč, z toho 91,4 mld. Kč investičních výdajů. </w:t>
      </w:r>
    </w:p>
    <w:p w:rsidR="00E62E97" w:rsidRPr="005A7B7B" w:rsidRDefault="00010F62" w:rsidP="005331A2">
      <w:pPr>
        <w:pStyle w:val="SRTextnomal"/>
      </w:pPr>
      <w:r>
        <w:t>Podrobné ú</w:t>
      </w:r>
      <w:r w:rsidR="00E62E97" w:rsidRPr="005A7B7B">
        <w:t>daje o výdajích vedených v informačním systému programového financování jsou uvedeny v sešitu H - Struktura výdajů kapitol státního rozpočtu podle programového financování.</w:t>
      </w:r>
    </w:p>
    <w:p w:rsidR="00E62E97" w:rsidRPr="005A7B7B" w:rsidRDefault="00E62E97" w:rsidP="004855D9">
      <w:pPr>
        <w:pStyle w:val="SRTextnomal"/>
        <w:sectPr w:rsidR="00E62E97" w:rsidRPr="005A7B7B" w:rsidSect="00187B06">
          <w:type w:val="continuous"/>
          <w:pgSz w:w="11906" w:h="16838" w:code="9"/>
          <w:pgMar w:top="1134" w:right="1134" w:bottom="1134" w:left="1134" w:header="709" w:footer="709" w:gutter="0"/>
          <w:cols w:num="2" w:space="397"/>
          <w:docGrid w:linePitch="360"/>
        </w:sectPr>
      </w:pPr>
    </w:p>
    <w:p w:rsidR="00E62E97" w:rsidRPr="005A7B7B" w:rsidRDefault="00E62E97" w:rsidP="00C74E4D">
      <w:pPr>
        <w:pStyle w:val="SRNadpis2"/>
        <w:keepNext w:val="0"/>
        <w:sectPr w:rsidR="00E62E97" w:rsidRPr="005A7B7B" w:rsidSect="00187B06">
          <w:type w:val="continuous"/>
          <w:pgSz w:w="11906" w:h="16838" w:code="9"/>
          <w:pgMar w:top="1134" w:right="1134" w:bottom="1134" w:left="1134" w:header="709" w:footer="709" w:gutter="0"/>
          <w:cols w:space="397"/>
          <w:docGrid w:linePitch="360"/>
        </w:sectPr>
      </w:pPr>
      <w:bookmarkStart w:id="150" w:name="_Toc52369877"/>
      <w:bookmarkStart w:id="151" w:name="_Ref81132054"/>
    </w:p>
    <w:p w:rsidR="00315C17" w:rsidRPr="005A7B7B" w:rsidRDefault="00315C17" w:rsidP="00D06E57">
      <w:pPr>
        <w:pStyle w:val="SRNadpis2"/>
      </w:pPr>
      <w:bookmarkStart w:id="152" w:name="_Toc175913901"/>
      <w:r w:rsidRPr="005A7B7B">
        <w:lastRenderedPageBreak/>
        <w:t>Výdaje na neinvestiční transfery podnikatelským subjektům</w:t>
      </w:r>
      <w:bookmarkEnd w:id="150"/>
      <w:bookmarkEnd w:id="151"/>
      <w:bookmarkEnd w:id="152"/>
    </w:p>
    <w:p w:rsidR="00F71550" w:rsidRPr="005A7B7B" w:rsidRDefault="00F71550" w:rsidP="00B10007">
      <w:pPr>
        <w:sectPr w:rsidR="00F71550" w:rsidRPr="005A7B7B" w:rsidSect="00E62E97">
          <w:pgSz w:w="11906" w:h="16838" w:code="9"/>
          <w:pgMar w:top="1134" w:right="1134" w:bottom="1134" w:left="1134" w:header="709" w:footer="709" w:gutter="0"/>
          <w:cols w:space="397"/>
          <w:docGrid w:linePitch="360"/>
        </w:sectPr>
      </w:pPr>
    </w:p>
    <w:p w:rsidR="00295283" w:rsidRPr="005A7B7B" w:rsidRDefault="00295283" w:rsidP="00E62E97">
      <w:pPr>
        <w:pStyle w:val="SRTextnomal"/>
      </w:pPr>
      <w:r w:rsidRPr="005A7B7B">
        <w:t>Objem neinvestičních transferů podnikatelským subjektům v návrhu státního rozpočtu na rok 2025 představuje 47,7 mld. Kč. Při meziročním porovnání těchto transferů dochází ke snížení oproti schválenému rozpočtu na rok 2024 o 16,7 %.</w:t>
      </w:r>
    </w:p>
    <w:p w:rsidR="00295283" w:rsidRPr="005A7B7B" w:rsidRDefault="00295283" w:rsidP="00295283">
      <w:pPr>
        <w:pStyle w:val="SRTextnomal"/>
      </w:pPr>
      <w:r w:rsidRPr="005A7B7B">
        <w:t xml:space="preserve">Největší část neinvestičních transferů pro podnikatelské subjekty na rok 2025 připadá na </w:t>
      </w:r>
      <w:r w:rsidRPr="005A7B7B">
        <w:rPr>
          <w:b/>
        </w:rPr>
        <w:t>Ministerstvo průmyslu a obchodu</w:t>
      </w:r>
      <w:r w:rsidRPr="005A7B7B">
        <w:t xml:space="preserve"> ve výši 19,6 mld. Kč. Nejvýznamnější podíl na tomto objemu mají dotace na obnovitelné zdroje energie ve výši 8,5 mld. Kč. Transfery v rámci Národního plánu obnovy činí 3,7 mld. Kč. Národní plán obnovy zahrnuje přímou podporu podnikatelskému sektoru se zvláštním zřetelem na malé a střední podniky, která přispěje k provedení digitální transformace podniků a podpoří kreativní sektor, např. přechod na čistší zdroje energie, digitální velkokapacitní sítě, čistou mobilitu, inovace, start-upy a nové technologie. V rámci Operačního programu Technologie a aplikace pro konkurenceschopnost (OP TAK), který je přímým nástupcem ukončeného Operačního programu Podnikání a inovace pro konkurenceschopnost (OP PIK), je uvažováno s nein</w:t>
      </w:r>
      <w:r w:rsidR="005331A2">
        <w:t>vestičním transferem ve výši 2</w:t>
      </w:r>
      <w:r w:rsidRPr="005A7B7B">
        <w:t> mld. Kč. OP TAK je v rámci přímé podpory malých a středních podnikatelů zaměřen na témata výzkumu, vývoje a inovací, růstu a konkurenceschopnosti. Na financování začlenění OKD, a.</w:t>
      </w:r>
      <w:r w:rsidR="00153268">
        <w:t>s. do s. p. DIAMO je rozpočtována</w:t>
      </w:r>
      <w:r w:rsidRPr="005A7B7B">
        <w:t xml:space="preserve"> částka 1,6 mld. Kč. Na útlum hornictví jsou určeny finanční prostředky v celkové výši 1,2 mld. Kč, z toho je na mandatorní sociální dotace zaměstnavatelům stanoveno 300 mil. Kč a na technickou část zahlazování hornické činnosti 913,8 mil. Kč. Dotace a půjčky na výzkum a vývoj bez spolufinancovaných programů z EU představují 1,2 mld. Kč</w:t>
      </w:r>
      <w:r w:rsidR="00153268">
        <w:t>. V souladu s usnesením vlády</w:t>
      </w:r>
      <w:r w:rsidRPr="005A7B7B">
        <w:t xml:space="preserve"> č. 176/2022 je zajišťována úhrada nákladů a výdajů spojených s řešením důsledků po chemické těžbě uranu a souvisejících činností v oblasti Stráže pod Ralskem, pro rok 2025 se jedná o neinvestiční transfery ve výši 1,2 mld. Na základě usnesení vlády č. 352/</w:t>
      </w:r>
      <w:r w:rsidR="005331A2">
        <w:t>2024 je rozpočtována částka 100 </w:t>
      </w:r>
      <w:r w:rsidRPr="005A7B7B">
        <w:t xml:space="preserve">mil. Kč na vypořádání ekologické zátěže ve skladu Vikantice. Ekologická dotace na úhrady z vydobytých nerostů činí 123,3 mil. Kč. </w:t>
      </w:r>
    </w:p>
    <w:p w:rsidR="00295283" w:rsidRPr="005A7B7B" w:rsidRDefault="00295283" w:rsidP="00295283">
      <w:pPr>
        <w:pStyle w:val="SRTextnomal"/>
      </w:pPr>
      <w:r w:rsidRPr="005A7B7B">
        <w:t xml:space="preserve">V kapitole </w:t>
      </w:r>
      <w:r w:rsidRPr="005A7B7B">
        <w:rPr>
          <w:b/>
        </w:rPr>
        <w:t xml:space="preserve">Ministerstvo dopravy </w:t>
      </w:r>
      <w:r w:rsidRPr="005A7B7B">
        <w:t>jsou pro rok 2025 rozpočtovány neinvestiční transfery ve výši 8,5 mld. Kč; z tohoto objemu je největší část určena na úhradu ztráty ze závazku veřejné služby ve veřejné drážní osobní dopravě ve výši 8,4 mld. Kč. Na mezinárodní s</w:t>
      </w:r>
      <w:r w:rsidR="00153268">
        <w:t>polupráci v obraně je určeno 91,</w:t>
      </w:r>
      <w:r w:rsidRPr="005A7B7B">
        <w:t>4 mil. Kč, jedná se o kompenzaci nákladů na poskytování letových provozních služeb letům osvobozených od zpop</w:t>
      </w:r>
      <w:r w:rsidR="00153268">
        <w:t>latnění ve vzdušném prostoru ČR </w:t>
      </w:r>
      <w:r w:rsidRPr="005A7B7B">
        <w:t>–</w:t>
      </w:r>
      <w:r w:rsidR="00153268">
        <w:t> </w:t>
      </w:r>
      <w:r w:rsidRPr="005A7B7B">
        <w:t>přelety NATO. Na úhradu poplatků vybíraných za letové provozní služby poskytované ve vzdušném prostoru ČR je vyčleněno 22,8 mil. Kč.</w:t>
      </w:r>
    </w:p>
    <w:p w:rsidR="00295283" w:rsidRPr="005A7B7B" w:rsidRDefault="00295283" w:rsidP="00295283">
      <w:pPr>
        <w:pStyle w:val="SRTextnomal"/>
      </w:pPr>
      <w:r w:rsidRPr="005A7B7B">
        <w:t xml:space="preserve">Neinvestiční transfery podnikatelským subjektům v rámci kapitoly </w:t>
      </w:r>
      <w:r w:rsidRPr="005A7B7B">
        <w:rPr>
          <w:b/>
        </w:rPr>
        <w:t>Ministerstvo zemědělství</w:t>
      </w:r>
      <w:r w:rsidRPr="005A7B7B">
        <w:t xml:space="preserve"> jsou pro rok 2025 </w:t>
      </w:r>
      <w:r w:rsidRPr="005A7B7B">
        <w:t>předpokládány ve výši téměř 1,5 mld. Kč. Na podporu agrárního sektoru je určena částka 1,2 mld. Kč, z čehož je v rámci národních podpor vymezena 1,0 mld. Kč na dotaci PGRLF, 85 mil. Kč na podpůrné programy a 40 mil. Kč Vinařskému fondu. Do lesního hospodářství směřují neinvestiční transfery ve výši 80 mil. Kč a na operační program Rybářství je určeno 35,8 mil. Kč. Ostatní výdaje na státní politiku resortu, inspekční, kontrolní a výzkumnou činnost činí 224,5 mil. Kč.</w:t>
      </w:r>
    </w:p>
    <w:p w:rsidR="00295283" w:rsidRPr="005A7B7B" w:rsidRDefault="00295283" w:rsidP="00295283">
      <w:pPr>
        <w:pStyle w:val="SRTextnomal"/>
      </w:pPr>
      <w:r w:rsidRPr="005A7B7B">
        <w:rPr>
          <w:b/>
        </w:rPr>
        <w:t>Ministerstvo práce a sociálních věcí</w:t>
      </w:r>
      <w:r w:rsidRPr="005A7B7B">
        <w:t xml:space="preserve"> uvažuje s neinvestičními transfery pro podnikatelské subjekty pro rok 2025 ve výši 13,5 mld. Kč. Příspěvek na podporu zaměstnávání osob se zdravotním postižením je rozpočtován ve výši 11,4 mld. Kč. Na aktivní politiku za</w:t>
      </w:r>
      <w:r w:rsidR="005331A2">
        <w:t>městnanosti je určena částka 2</w:t>
      </w:r>
      <w:r w:rsidRPr="005A7B7B">
        <w:t xml:space="preserve"> mld. Kč, a to zejména na společensky účelná pracovní místa, veřejně prospěšné práce a cílené programy k řešení zaměstnanosti. V rámci neinvestičních nedávkových transferů je vyčleněna částka 180,0 mil. Kč na ostatní sociální péči a pomoc rodině a manželství.</w:t>
      </w:r>
    </w:p>
    <w:p w:rsidR="00295283" w:rsidRPr="005A7B7B" w:rsidRDefault="00295283" w:rsidP="00295283">
      <w:pPr>
        <w:pStyle w:val="SRTextnomal"/>
      </w:pPr>
      <w:r w:rsidRPr="005A7B7B">
        <w:t xml:space="preserve">Neinvestiční transfery podnikatelským subjektům v kapitole </w:t>
      </w:r>
      <w:r w:rsidRPr="005A7B7B">
        <w:rPr>
          <w:b/>
        </w:rPr>
        <w:t>Technologická agentura ČR</w:t>
      </w:r>
      <w:r w:rsidRPr="005A7B7B">
        <w:t xml:space="preserve"> v objemu 3,4 mld. Kč jsou určeny na dotační programy vybraných projektů aplikovaného výzkumu, experimentálního vývoje a inovací.</w:t>
      </w:r>
    </w:p>
    <w:p w:rsidR="00295283" w:rsidRPr="005A7B7B" w:rsidRDefault="00295283" w:rsidP="00295283">
      <w:pPr>
        <w:pStyle w:val="SRTextnomal"/>
      </w:pPr>
      <w:r w:rsidRPr="005A7B7B">
        <w:rPr>
          <w:b/>
        </w:rPr>
        <w:t>Ministerstvo obrany</w:t>
      </w:r>
      <w:r w:rsidRPr="005A7B7B">
        <w:t xml:space="preserve"> rozpočtuje neinvestiční transfery podnikatelským subjektům v částce 409,8 mil. Kč, jedná se o transfery na řešení projektů obranného výzkumu a vývoje.</w:t>
      </w:r>
    </w:p>
    <w:p w:rsidR="00295283" w:rsidRPr="005A7B7B" w:rsidRDefault="00295283" w:rsidP="00295283">
      <w:pPr>
        <w:pStyle w:val="SRTextnomal"/>
      </w:pPr>
      <w:r w:rsidRPr="005A7B7B">
        <w:t xml:space="preserve">V kapitole </w:t>
      </w:r>
      <w:r w:rsidRPr="005A7B7B">
        <w:rPr>
          <w:b/>
        </w:rPr>
        <w:t>Ministerstvo zdravotnictví</w:t>
      </w:r>
      <w:r w:rsidRPr="005A7B7B">
        <w:t xml:space="preserve"> jsou pro rok 2025 rozpočtovány neinvestiční transfery ve výši 283,6 mil. Kč, převážně na další vzdělávání pracovníků ve zdravotnictví.</w:t>
      </w:r>
    </w:p>
    <w:p w:rsidR="00295283" w:rsidRPr="005A7B7B" w:rsidRDefault="00295283" w:rsidP="00295283">
      <w:pPr>
        <w:pStyle w:val="SRTextnomal"/>
      </w:pPr>
      <w:r w:rsidRPr="005A7B7B">
        <w:t xml:space="preserve">V kapitole </w:t>
      </w:r>
      <w:r w:rsidRPr="005A7B7B">
        <w:rPr>
          <w:b/>
        </w:rPr>
        <w:t>Všeobecná pokladní správa</w:t>
      </w:r>
      <w:r w:rsidRPr="005A7B7B">
        <w:t xml:space="preserve"> jsou rozpočtovány neinvestiční transfery podnikatelským subjektům pro rok 2025 ve výši 250 mil. Kč na dotaci na dorovnání úrokových rozdílů u vývozních úvěrů. </w:t>
      </w:r>
    </w:p>
    <w:p w:rsidR="00295283" w:rsidRPr="005A7B7B" w:rsidRDefault="00295283" w:rsidP="00295283">
      <w:pPr>
        <w:pStyle w:val="SRTextnomal"/>
      </w:pPr>
      <w:r w:rsidRPr="005A7B7B">
        <w:t xml:space="preserve">Neinvestiční transfery podnikatelským subjektům v rámci kapitoly </w:t>
      </w:r>
      <w:r w:rsidRPr="005A7B7B">
        <w:rPr>
          <w:b/>
        </w:rPr>
        <w:t>Ministerstvo kultury</w:t>
      </w:r>
      <w:r w:rsidRPr="005A7B7B">
        <w:t xml:space="preserve"> jsou pro rok 2025 předpokládány ve výši 160,1 mil Kč. Na kulturní aktivity, jako jsou festivaly, vydavatelská činnost, výstavní činnost, mezinárodní spolupráce v kultuře a další kulturní akce je uvažováno s částkou 122,2 mil. Kč. Na rozvoj kulturního a kreativního sektoru je v rámci Národního p</w:t>
      </w:r>
      <w:r w:rsidR="005331A2">
        <w:t>lánu obnovy určeno 34,6 mil. Kč</w:t>
      </w:r>
      <w:r w:rsidRPr="005A7B7B">
        <w:t xml:space="preserve"> a na výdaje na vědu, výzkum a inovace 2,4 mil. Kč.</w:t>
      </w:r>
    </w:p>
    <w:p w:rsidR="00295283" w:rsidRPr="005A7B7B" w:rsidRDefault="00295283" w:rsidP="00295283">
      <w:pPr>
        <w:pStyle w:val="SRTextnomal"/>
      </w:pPr>
      <w:r w:rsidRPr="005A7B7B">
        <w:rPr>
          <w:b/>
        </w:rPr>
        <w:t>Ministerstvo vnitra</w:t>
      </w:r>
      <w:r w:rsidRPr="005A7B7B">
        <w:t xml:space="preserve"> rozpočtuje pro rok 2025 neinvestiční transfery podnikatelským subjektům v objemu 117,2 mil. Kč především na řešení výzkumných úkolů v oblasti výzkumu, vývoje a inovací.</w:t>
      </w:r>
    </w:p>
    <w:p w:rsidR="00CC15B1" w:rsidRPr="005A7B7B" w:rsidRDefault="00295283" w:rsidP="00295283">
      <w:pPr>
        <w:pStyle w:val="SRTextnomal"/>
      </w:pPr>
      <w:r w:rsidRPr="005A7B7B">
        <w:t>Výše uvedené kapitoly se na celkových rozpočtovaných neinvestičních transferech podnikatelským subjektům podílejí 99,9 %. Na ostatní resorty připada</w:t>
      </w:r>
      <w:r w:rsidR="00153268">
        <w:t>jí podstatně nižší objemy transferů</w:t>
      </w:r>
      <w:r w:rsidRPr="005A7B7B">
        <w:t>.</w:t>
      </w:r>
    </w:p>
    <w:p w:rsidR="00F71550" w:rsidRPr="005A7B7B" w:rsidRDefault="00F71550" w:rsidP="00315C17">
      <w:pPr>
        <w:sectPr w:rsidR="00F71550" w:rsidRPr="005A7B7B" w:rsidSect="00187B06">
          <w:type w:val="continuous"/>
          <w:pgSz w:w="11906" w:h="16838" w:code="9"/>
          <w:pgMar w:top="1134" w:right="1134" w:bottom="1134" w:left="1134" w:header="709" w:footer="709" w:gutter="0"/>
          <w:cols w:num="2" w:space="397"/>
          <w:docGrid w:linePitch="360"/>
        </w:sectPr>
      </w:pPr>
    </w:p>
    <w:p w:rsidR="00315C17" w:rsidRPr="005A7B7B" w:rsidRDefault="00315C17" w:rsidP="00D06E57">
      <w:pPr>
        <w:pStyle w:val="SRNadpis2"/>
      </w:pPr>
      <w:bookmarkStart w:id="153" w:name="_Toc52369878"/>
      <w:bookmarkStart w:id="154" w:name="_Ref81132065"/>
      <w:bookmarkStart w:id="155" w:name="_Ref81132111"/>
      <w:bookmarkStart w:id="156" w:name="_Toc175913902"/>
      <w:r w:rsidRPr="005A7B7B">
        <w:lastRenderedPageBreak/>
        <w:t>Výdaje státu na podporu činnosti nestátních neziskových organizací</w:t>
      </w:r>
      <w:bookmarkEnd w:id="153"/>
      <w:bookmarkEnd w:id="154"/>
      <w:bookmarkEnd w:id="155"/>
      <w:bookmarkEnd w:id="156"/>
    </w:p>
    <w:p w:rsidR="00157471" w:rsidRPr="005A7B7B" w:rsidRDefault="00157471" w:rsidP="00B10007">
      <w:pPr>
        <w:pStyle w:val="Normlnweb"/>
        <w:rPr>
          <w:rFonts w:ascii="Calibri" w:hAnsi="Calibri"/>
          <w:sz w:val="20"/>
          <w:szCs w:val="20"/>
        </w:rPr>
        <w:sectPr w:rsidR="00157471" w:rsidRPr="005A7B7B" w:rsidSect="00187B06">
          <w:type w:val="continuous"/>
          <w:pgSz w:w="11906" w:h="16838" w:code="9"/>
          <w:pgMar w:top="1134" w:right="1134" w:bottom="1134" w:left="1134" w:header="709" w:footer="709" w:gutter="0"/>
          <w:cols w:space="397"/>
          <w:docGrid w:linePitch="360"/>
        </w:sectPr>
      </w:pPr>
    </w:p>
    <w:p w:rsidR="00875C9E" w:rsidRPr="005A7B7B" w:rsidRDefault="00875C9E" w:rsidP="00875C9E">
      <w:pPr>
        <w:pStyle w:val="SRTextnomal"/>
      </w:pPr>
      <w:r w:rsidRPr="005A7B7B">
        <w:t>Podle zákona o rozpočtových pravidlech se ze státního rozpočtu poskytují dotace nestátním neziskovým organizacím, jako jsou spolky, nadace a nadační fondy, ústavy, obecně prospěšné společnosti či další právnické osoby, jejichž hlavním předmětem činnosti je poskytování zejména zdravotních, kulturních, vzdělávacích a sociálních služeb, podpora sportovních aktivit a sociálně právní ochrana dětí. Poskytování dotací je podrobně upraveno „Zásadami vlády pro poskytování dotací ze státního rozpočtu České republiky nestátním neziskovým organizacím ústředními orgány státní správy“, jejichž znění bylo schváleno usnesením vlády č.</w:t>
      </w:r>
      <w:r w:rsidR="00DD74EC">
        <w:t> </w:t>
      </w:r>
      <w:r w:rsidRPr="005A7B7B">
        <w:t xml:space="preserve">591 ze dne 1. 6. 2020. </w:t>
      </w:r>
    </w:p>
    <w:p w:rsidR="00875C9E" w:rsidRPr="005A7B7B" w:rsidRDefault="00875C9E" w:rsidP="00C717BF">
      <w:pPr>
        <w:pStyle w:val="SRTextnomal"/>
      </w:pPr>
      <w:r w:rsidRPr="005A7B7B">
        <w:t>Ve státním rozpočtu na rok 2025 jsou zahrnuty neinvestiční transfery neziskovým a podobným organizacím z tuzemských i zahraničních zdrojů v c</w:t>
      </w:r>
      <w:r w:rsidR="00C717BF">
        <w:t>elkovém objemu 26,7 </w:t>
      </w:r>
      <w:r w:rsidRPr="005A7B7B">
        <w:t xml:space="preserve">mld. Kč. Ve srovnání s rozpočtem na rok 2024 se objem neinvestičních transferů zvyšuje o 6,9 mld. Kč. Pokud odečteme výdaje kryté příjmy z rozpočtu EU/FM, pak neinvestiční transfery z tuzemských zdrojů rostou o  2,5 mld. Kč. </w:t>
      </w:r>
    </w:p>
    <w:p w:rsidR="00875C9E" w:rsidRPr="005A7B7B" w:rsidRDefault="00875C9E" w:rsidP="00C717BF">
      <w:pPr>
        <w:pStyle w:val="SRTextnomal"/>
      </w:pPr>
      <w:r w:rsidRPr="005A7B7B">
        <w:t>K významnému zvýšení výdajů dochází u rozpočtových kapitol ministerstev práce a sociálních věcí a kultury.  Nárůst výdajů je způsoben zejména zvýšením objemu finančních prostředků na transfery spolufinancované z prostředků EU a FM, konkrétně na realizaci projektů Operačního programu Zaměstnanost plus. Největší objem transferů bude čerpán na projekty, které mají posilovat aktivní začleňování a podpořit tak rovné příležitosti, nediskriminaci a aktivní účast a zlepšit zaměstnanost, zejména v případě znevýhodněných skupin. Rozpočet Ministerstva kultury byl pro rok 2025 jednorázově navýšen z důvodu prodeje nemovitostí a část těchto prostředků bude použita na dotace pro neziskové a podobné organizace.</w:t>
      </w:r>
    </w:p>
    <w:p w:rsidR="00875C9E" w:rsidRPr="005A7B7B" w:rsidRDefault="00875C9E" w:rsidP="00C717BF">
      <w:pPr>
        <w:pStyle w:val="SRTextnomal"/>
      </w:pPr>
      <w:r w:rsidRPr="005A7B7B">
        <w:t xml:space="preserve">Téměř 90 % neinvestičních transferů je součástí rozpočtu Ministerstva školství, mládeže a tělovýchovy, Národní sportovní agentury, Ministerstva práce a sociálních věcí a Ministerstva kultury. </w:t>
      </w:r>
    </w:p>
    <w:p w:rsidR="00875C9E" w:rsidRPr="005A7B7B" w:rsidRDefault="00875C9E" w:rsidP="00C717BF">
      <w:pPr>
        <w:pStyle w:val="SRTextnomal"/>
      </w:pPr>
      <w:r w:rsidRPr="005A7B7B">
        <w:t xml:space="preserve">Výdaje v působnosti těchto rozpočtových kapitol jsou určeny sportovním organizacím na podporu sportu, zejména dětí a mládeže, zajištění sportovních organizací, sportovní reprezentace a na pořádání významných sportovních akcí (Národní sportovní agentura). </w:t>
      </w:r>
    </w:p>
    <w:p w:rsidR="00875C9E" w:rsidRPr="005A7B7B" w:rsidRDefault="00875C9E" w:rsidP="00C717BF">
      <w:pPr>
        <w:pStyle w:val="SRTextnomal"/>
      </w:pPr>
      <w:r w:rsidRPr="005A7B7B">
        <w:t xml:space="preserve">Dále na volnočasové aktivity dětí a mládeže, dotace církevním školám (Ministerstvo školství, mládeže a tělovýchovy), dotace na podporu služeb pro rodiny, které mají preventivní a podpůrný charakter (posílení rodičovských </w:t>
      </w:r>
      <w:r w:rsidRPr="00C717BF">
        <w:t>kompetencí</w:t>
      </w:r>
      <w:r w:rsidRPr="005A7B7B">
        <w:t xml:space="preserve">, zkvalitnění rodinných vztahů, podpora rodiny v péči o děti, v jejich výchově a při slaďování práce a rodiny), dotace na poskytování sociálních služeb, na podporu činnosti seniorských a proseniorských organizací a na vyplácení státního příspěvku na provoz dětských skupin (Ministerstvo práce a sociálních věcí). </w:t>
      </w:r>
    </w:p>
    <w:p w:rsidR="00875C9E" w:rsidRPr="005A7B7B" w:rsidRDefault="00875C9E" w:rsidP="00C717BF">
      <w:pPr>
        <w:pStyle w:val="SRTextnomal"/>
      </w:pPr>
      <w:r w:rsidRPr="005A7B7B">
        <w:t>Z rozpočtu Ministerstva kultury je podporováno zachování a obnova kulturních památek, divadelní a hudební aktivity, zájmová umělecká činnost, podpora významných kulturních aktivit s náboženskou tématikou pro církve a náboženské společnosti a spolky.</w:t>
      </w:r>
    </w:p>
    <w:p w:rsidR="00875C9E" w:rsidRPr="005A7B7B" w:rsidRDefault="00875C9E" w:rsidP="00C717BF">
      <w:pPr>
        <w:pStyle w:val="SRTextnomal"/>
      </w:pPr>
      <w:r w:rsidRPr="005A7B7B">
        <w:t>Ministerstvo vnitra prostřednictvím neinvestičních transferů nestátním neziskovým organizacím podporuje například sbory dobrovolných hasičů, integraci cizinců z třetích zemí a činnosti v oblasti humanitární pomoci.</w:t>
      </w:r>
    </w:p>
    <w:p w:rsidR="00E91C25" w:rsidRPr="005A7B7B" w:rsidRDefault="00875C9E" w:rsidP="00C717BF">
      <w:pPr>
        <w:pStyle w:val="SRTextnomal"/>
      </w:pPr>
      <w:r w:rsidRPr="005A7B7B">
        <w:t xml:space="preserve">Rozpočtové kapitoly </w:t>
      </w:r>
      <w:r w:rsidRPr="00C717BF">
        <w:t>Grantová</w:t>
      </w:r>
      <w:r w:rsidRPr="005A7B7B">
        <w:t xml:space="preserve"> agentura ČR a Technologická agentura ČR předpokládají poskytování dotací i v roce 2025, avšak z technických důvodů nyní rozpočtují tyto výdaje na jiných položkách.</w:t>
      </w:r>
    </w:p>
    <w:p w:rsidR="00157471" w:rsidRPr="005A7B7B" w:rsidRDefault="00157471" w:rsidP="000D440D">
      <w:pPr>
        <w:pStyle w:val="SRTitulek1"/>
        <w:sectPr w:rsidR="00157471" w:rsidRPr="005A7B7B" w:rsidSect="00187B06">
          <w:type w:val="continuous"/>
          <w:pgSz w:w="11906" w:h="16838" w:code="9"/>
          <w:pgMar w:top="1134" w:right="1134" w:bottom="1134" w:left="1134" w:header="709" w:footer="709" w:gutter="0"/>
          <w:cols w:num="2" w:space="397"/>
          <w:docGrid w:linePitch="360"/>
        </w:sectPr>
      </w:pPr>
    </w:p>
    <w:p w:rsidR="00315C17" w:rsidRPr="005A7B7B" w:rsidRDefault="004D4FC1" w:rsidP="000D440D">
      <w:pPr>
        <w:pStyle w:val="SRTitulek1"/>
      </w:pPr>
      <w:bookmarkStart w:id="157" w:name="_Toc175913971"/>
      <w:r w:rsidRPr="005A7B7B">
        <w:t xml:space="preserve">Graf </w:t>
      </w:r>
      <w:fldSimple w:instr=" SEQ Graf \* ARABIC ">
        <w:r w:rsidR="0010122A">
          <w:rPr>
            <w:noProof/>
          </w:rPr>
          <w:t>17</w:t>
        </w:r>
      </w:fldSimple>
      <w:r w:rsidRPr="005A7B7B">
        <w:t xml:space="preserve"> </w:t>
      </w:r>
      <w:r w:rsidR="005E4EC7" w:rsidRPr="005A7B7B">
        <w:t>T</w:t>
      </w:r>
      <w:r w:rsidR="00B762A9" w:rsidRPr="005A7B7B">
        <w:t xml:space="preserve">ransfery </w:t>
      </w:r>
      <w:r w:rsidR="005E4EC7" w:rsidRPr="005A7B7B">
        <w:t xml:space="preserve">celkem </w:t>
      </w:r>
      <w:r w:rsidR="00B762A9" w:rsidRPr="005A7B7B">
        <w:t>neziskovým a podobným organizacím</w:t>
      </w:r>
      <w:bookmarkEnd w:id="157"/>
    </w:p>
    <w:p w:rsidR="00CC15B1" w:rsidRDefault="00375E48" w:rsidP="002C320C">
      <w:pPr>
        <w:pStyle w:val="SRTextnomal"/>
        <w:jc w:val="center"/>
      </w:pPr>
      <w:bookmarkStart w:id="158" w:name="_Toc80264021"/>
      <w:r w:rsidRPr="005A7B7B">
        <w:rPr>
          <w:noProof/>
        </w:rPr>
        <w:drawing>
          <wp:inline distT="0" distB="0" distL="0" distR="0">
            <wp:extent cx="4383405" cy="2727960"/>
            <wp:effectExtent l="0" t="0" r="0" b="0"/>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83405" cy="2727960"/>
                    </a:xfrm>
                    <a:prstGeom prst="rect">
                      <a:avLst/>
                    </a:prstGeom>
                    <a:noFill/>
                  </pic:spPr>
                </pic:pic>
              </a:graphicData>
            </a:graphic>
          </wp:inline>
        </w:drawing>
      </w:r>
    </w:p>
    <w:p w:rsidR="00C74E4D" w:rsidRDefault="00C74E4D" w:rsidP="002C320C">
      <w:pPr>
        <w:pStyle w:val="SRTextnomal"/>
        <w:jc w:val="center"/>
        <w:sectPr w:rsidR="00C74E4D" w:rsidSect="00187B06">
          <w:type w:val="continuous"/>
          <w:pgSz w:w="11906" w:h="16838" w:code="9"/>
          <w:pgMar w:top="1134" w:right="1134" w:bottom="1134" w:left="1134" w:header="709" w:footer="709" w:gutter="0"/>
          <w:cols w:space="397"/>
          <w:docGrid w:linePitch="360"/>
        </w:sectPr>
      </w:pPr>
    </w:p>
    <w:p w:rsidR="00C74E4D" w:rsidRPr="005A7B7B" w:rsidRDefault="00C74E4D" w:rsidP="00C717BF">
      <w:pPr>
        <w:pStyle w:val="SRTextnomal"/>
      </w:pPr>
    </w:p>
    <w:p w:rsidR="00CC15B1" w:rsidRPr="005A7B7B" w:rsidRDefault="00CC15B1" w:rsidP="00C717BF">
      <w:pPr>
        <w:pStyle w:val="SRTextnomal"/>
        <w:sectPr w:rsidR="00CC15B1" w:rsidRPr="005A7B7B" w:rsidSect="00187B06">
          <w:type w:val="continuous"/>
          <w:pgSz w:w="11906" w:h="16838" w:code="9"/>
          <w:pgMar w:top="1134" w:right="1134" w:bottom="1134" w:left="1134" w:header="709" w:footer="709" w:gutter="0"/>
          <w:cols w:space="397"/>
          <w:docGrid w:linePitch="360"/>
        </w:sectPr>
      </w:pPr>
    </w:p>
    <w:p w:rsidR="001A2AB5" w:rsidRPr="005A7B7B" w:rsidRDefault="003B6D10" w:rsidP="000D440D">
      <w:pPr>
        <w:pStyle w:val="SRTitulek1"/>
        <w:rPr>
          <w:i/>
        </w:rPr>
      </w:pPr>
      <w:bookmarkStart w:id="159" w:name="_Toc175913945"/>
      <w:r w:rsidRPr="005A7B7B">
        <w:t>Tabulka</w:t>
      </w:r>
      <w:r w:rsidR="001A2AB5" w:rsidRPr="005A7B7B">
        <w:t xml:space="preserve"> </w:t>
      </w:r>
      <w:fldSimple w:instr=" SEQ Tabulka \* ARABIC ">
        <w:r w:rsidR="0010122A">
          <w:rPr>
            <w:noProof/>
          </w:rPr>
          <w:t>23</w:t>
        </w:r>
      </w:fldSimple>
      <w:r w:rsidR="001A2AB5" w:rsidRPr="005A7B7B">
        <w:t xml:space="preserve"> Neinvestiční transfery neziskovým a podobným organizacím </w:t>
      </w:r>
      <w:r w:rsidR="001A2AB5" w:rsidRPr="005A7B7B">
        <w:rPr>
          <w:i/>
        </w:rPr>
        <w:t>(v mil. Kč)</w:t>
      </w:r>
      <w:bookmarkEnd w:id="158"/>
      <w:bookmarkEnd w:id="159"/>
    </w:p>
    <w:p w:rsidR="00DF49FF" w:rsidRPr="005A7B7B" w:rsidRDefault="00375E48" w:rsidP="00C717BF">
      <w:pPr>
        <w:pStyle w:val="SRTextnomal"/>
      </w:pPr>
      <w:r w:rsidRPr="005A7B7B">
        <w:rPr>
          <w:noProof/>
        </w:rPr>
        <w:drawing>
          <wp:inline distT="0" distB="0" distL="0" distR="0">
            <wp:extent cx="6115050" cy="515302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5050" cy="5153025"/>
                    </a:xfrm>
                    <a:prstGeom prst="rect">
                      <a:avLst/>
                    </a:prstGeom>
                    <a:noFill/>
                    <a:ln>
                      <a:noFill/>
                    </a:ln>
                  </pic:spPr>
                </pic:pic>
              </a:graphicData>
            </a:graphic>
          </wp:inline>
        </w:drawing>
      </w:r>
    </w:p>
    <w:p w:rsidR="00051B49" w:rsidRPr="005A7B7B" w:rsidRDefault="00051B49" w:rsidP="00C717BF">
      <w:pPr>
        <w:pStyle w:val="SRTextnomal"/>
        <w:sectPr w:rsidR="00051B49" w:rsidRPr="005A7B7B" w:rsidSect="00187B06">
          <w:type w:val="continuous"/>
          <w:pgSz w:w="11906" w:h="16838" w:code="9"/>
          <w:pgMar w:top="1134" w:right="1134" w:bottom="1134" w:left="1134" w:header="709" w:footer="709" w:gutter="0"/>
          <w:cols w:space="397"/>
          <w:docGrid w:linePitch="360"/>
        </w:sectPr>
      </w:pPr>
    </w:p>
    <w:p w:rsidR="005C222B" w:rsidRPr="005A7B7B" w:rsidRDefault="005C222B" w:rsidP="000D440D">
      <w:pPr>
        <w:pStyle w:val="SRTitulek1"/>
        <w:rPr>
          <w:i/>
        </w:rPr>
      </w:pPr>
      <w:bookmarkStart w:id="160" w:name="_Toc80264020"/>
      <w:bookmarkStart w:id="161" w:name="_Toc175913946"/>
      <w:r w:rsidRPr="005A7B7B">
        <w:t xml:space="preserve">Tabulka </w:t>
      </w:r>
      <w:fldSimple w:instr=" SEQ Tabulka \* ARABIC ">
        <w:r w:rsidR="0010122A">
          <w:rPr>
            <w:noProof/>
          </w:rPr>
          <w:t>24</w:t>
        </w:r>
      </w:fldSimple>
      <w:r w:rsidRPr="005A7B7B">
        <w:t xml:space="preserve"> Investiční transfery neziskovým a podobným organizacím </w:t>
      </w:r>
      <w:r w:rsidRPr="005A7B7B">
        <w:rPr>
          <w:i/>
        </w:rPr>
        <w:t>(v mil. Kč)</w:t>
      </w:r>
      <w:bookmarkEnd w:id="160"/>
      <w:bookmarkEnd w:id="161"/>
    </w:p>
    <w:p w:rsidR="005C222B" w:rsidRDefault="00375E48" w:rsidP="00C717BF">
      <w:pPr>
        <w:pStyle w:val="SRTextnomal"/>
      </w:pPr>
      <w:r w:rsidRPr="005A7B7B">
        <w:rPr>
          <w:noProof/>
        </w:rPr>
        <w:drawing>
          <wp:inline distT="0" distB="0" distL="0" distR="0">
            <wp:extent cx="6115050" cy="27432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050" cy="2743200"/>
                    </a:xfrm>
                    <a:prstGeom prst="rect">
                      <a:avLst/>
                    </a:prstGeom>
                    <a:noFill/>
                    <a:ln>
                      <a:noFill/>
                    </a:ln>
                  </pic:spPr>
                </pic:pic>
              </a:graphicData>
            </a:graphic>
          </wp:inline>
        </w:drawing>
      </w:r>
    </w:p>
    <w:p w:rsidR="00C74E4D" w:rsidRDefault="00C74E4D" w:rsidP="00C717BF">
      <w:pPr>
        <w:pStyle w:val="SRTextnomal"/>
        <w:sectPr w:rsidR="00C74E4D" w:rsidSect="00187B06">
          <w:type w:val="continuous"/>
          <w:pgSz w:w="11906" w:h="16838" w:code="9"/>
          <w:pgMar w:top="1134" w:right="1134" w:bottom="1134" w:left="1134" w:header="709" w:footer="709" w:gutter="0"/>
          <w:cols w:space="397"/>
          <w:docGrid w:linePitch="360"/>
        </w:sectPr>
      </w:pPr>
    </w:p>
    <w:p w:rsidR="00C74E4D" w:rsidRPr="005A7B7B" w:rsidRDefault="00C74E4D" w:rsidP="00C717BF">
      <w:pPr>
        <w:pStyle w:val="SRTextnomal"/>
      </w:pPr>
    </w:p>
    <w:p w:rsidR="00051B49" w:rsidRPr="005A7B7B" w:rsidRDefault="00051B49" w:rsidP="00C717BF">
      <w:pPr>
        <w:pStyle w:val="SRTextnomal"/>
        <w:sectPr w:rsidR="00051B49" w:rsidRPr="005A7B7B" w:rsidSect="00187B06">
          <w:type w:val="continuous"/>
          <w:pgSz w:w="11906" w:h="16838" w:code="9"/>
          <w:pgMar w:top="1134" w:right="1134" w:bottom="1134" w:left="1134" w:header="709" w:footer="709" w:gutter="0"/>
          <w:cols w:space="397"/>
          <w:docGrid w:linePitch="360"/>
        </w:sectPr>
      </w:pPr>
    </w:p>
    <w:p w:rsidR="00875C9E" w:rsidRPr="005A7B7B" w:rsidRDefault="009D57B3" w:rsidP="00875C9E">
      <w:pPr>
        <w:pStyle w:val="SRTextnomal"/>
      </w:pPr>
      <w:r w:rsidRPr="00C717BF">
        <w:lastRenderedPageBreak/>
        <w:t>Vedle neinvestičních transferů</w:t>
      </w:r>
      <w:r w:rsidR="00875C9E" w:rsidRPr="00C717BF">
        <w:t xml:space="preserve"> jsou nestátním</w:t>
      </w:r>
      <w:r w:rsidR="00875C9E" w:rsidRPr="005A7B7B">
        <w:t xml:space="preserve"> neziskovým organizacím ze státního rozpočtu po</w:t>
      </w:r>
      <w:r>
        <w:t>skytovány také investiční transfery</w:t>
      </w:r>
      <w:r w:rsidR="00875C9E" w:rsidRPr="005A7B7B">
        <w:t xml:space="preserve">. V rozpočtu na rok 2025 dosahují celkového objemu 444,8 mil. Kč. </w:t>
      </w:r>
    </w:p>
    <w:p w:rsidR="00055515" w:rsidRPr="005A7B7B" w:rsidRDefault="00875C9E" w:rsidP="00C717BF">
      <w:pPr>
        <w:pStyle w:val="SRTextnomal"/>
      </w:pPr>
      <w:r w:rsidRPr="005A7B7B">
        <w:t xml:space="preserve">Pro investiční transfery neziskovým </w:t>
      </w:r>
      <w:r w:rsidRPr="00C717BF">
        <w:t>organizacím</w:t>
      </w:r>
      <w:r w:rsidRPr="005A7B7B">
        <w:t xml:space="preserve"> obecně platí, že poskytovatelé v době sestavování </w:t>
      </w:r>
      <w:r w:rsidRPr="005A7B7B">
        <w:t>státního rozpočtu neznají strukturu příjemců dotací, často nemají ještě vypsané příslušné výzvy. Proto nelze částky určené na dotace detailně rozepsat podle rozpočtové skladby. V průběhu roku správci rozpočtových kapitol příslušné částky zapojují do rozpočtu pomocí rozpočtových opatření a dále využívají nároky z nespotřebovaných výdajů.</w:t>
      </w:r>
    </w:p>
    <w:p w:rsidR="002A4F5E" w:rsidRPr="005A7B7B" w:rsidRDefault="002A4F5E" w:rsidP="002A4F5E">
      <w:pPr>
        <w:pStyle w:val="SRNadpis2"/>
        <w:numPr>
          <w:ilvl w:val="0"/>
          <w:numId w:val="0"/>
        </w:numPr>
        <w:ind w:left="426"/>
        <w:sectPr w:rsidR="002A4F5E" w:rsidRPr="005A7B7B" w:rsidSect="00187B06">
          <w:type w:val="continuous"/>
          <w:pgSz w:w="11906" w:h="16838" w:code="9"/>
          <w:pgMar w:top="1134" w:right="1134" w:bottom="1134" w:left="1134" w:header="709" w:footer="709" w:gutter="0"/>
          <w:cols w:num="2" w:space="709"/>
          <w:docGrid w:linePitch="360"/>
        </w:sectPr>
      </w:pPr>
    </w:p>
    <w:p w:rsidR="002C071D" w:rsidRPr="005A7B7B" w:rsidRDefault="00EA5245" w:rsidP="00D06E57">
      <w:pPr>
        <w:pStyle w:val="SRNadpis2"/>
      </w:pPr>
      <w:bookmarkStart w:id="162" w:name="_Ref81249534"/>
      <w:bookmarkStart w:id="163" w:name="_Ref81249539"/>
      <w:bookmarkStart w:id="164" w:name="_Ref81249548"/>
      <w:bookmarkStart w:id="165" w:name="_Toc175913903"/>
      <w:r w:rsidRPr="005A7B7B">
        <w:t>Státní záruky</w:t>
      </w:r>
      <w:bookmarkEnd w:id="162"/>
      <w:bookmarkEnd w:id="163"/>
      <w:bookmarkEnd w:id="164"/>
      <w:bookmarkEnd w:id="165"/>
    </w:p>
    <w:p w:rsidR="00EA5245" w:rsidRPr="005A7B7B" w:rsidRDefault="00EA5245" w:rsidP="00D06E57">
      <w:pPr>
        <w:pStyle w:val="SRNadpis2"/>
        <w:sectPr w:rsidR="00EA5245" w:rsidRPr="005A7B7B" w:rsidSect="00187B06">
          <w:type w:val="continuous"/>
          <w:pgSz w:w="11906" w:h="16838" w:code="9"/>
          <w:pgMar w:top="1134" w:right="1134" w:bottom="1134" w:left="1134" w:header="709" w:footer="709" w:gutter="0"/>
          <w:cols w:space="397"/>
          <w:docGrid w:linePitch="360"/>
        </w:sectPr>
      </w:pPr>
    </w:p>
    <w:p w:rsidR="003B0C92" w:rsidRPr="005A7B7B" w:rsidRDefault="003B0C92" w:rsidP="00755DA7">
      <w:pPr>
        <w:pStyle w:val="SRTextnomal"/>
      </w:pPr>
      <w:r w:rsidRPr="005A7B7B">
        <w:t xml:space="preserve">V kapitole Všeobecná pokladní správa na realizaci státních záruk v roce 2025 nejsou rozpočtovány finanční prostředky pro Národní rozvojovou banku, a.s. (dříve Českomoravskou záruční a </w:t>
      </w:r>
      <w:r w:rsidRPr="00C717BF">
        <w:t>rozvojovou</w:t>
      </w:r>
      <w:r w:rsidRPr="005A7B7B">
        <w:t xml:space="preserve"> banku). Z kapitoly Všeobecná pokladní správa byly prováděny úhrady dluhové služby </w:t>
      </w:r>
      <w:r w:rsidRPr="00755DA7">
        <w:t>při</w:t>
      </w:r>
      <w:r w:rsidRPr="005A7B7B">
        <w:t xml:space="preserve"> platební neschopnosti dlužníka (splátky jistin a úroků).</w:t>
      </w:r>
      <w:r w:rsidR="009D57B3">
        <w:t xml:space="preserve"> </w:t>
      </w:r>
      <w:r w:rsidRPr="005A7B7B">
        <w:t>Již v roce 2022 byl splacen poslední zaručený úvěr přijatý Národní rozvojovou bankou, a.s. (dříve Českomoravskou záruční a rozvojovou bankou, a.s.), ve kterém jako věřitel vystupovala Evropská investiční banka. Tento úvěr byl určen na odstraňování škod z povodní.</w:t>
      </w:r>
    </w:p>
    <w:p w:rsidR="003B0C92" w:rsidRPr="005A7B7B" w:rsidRDefault="003B0C92" w:rsidP="00C717BF">
      <w:pPr>
        <w:pStyle w:val="SRTextnomal"/>
      </w:pPr>
      <w:r w:rsidRPr="005A7B7B">
        <w:t xml:space="preserve">Ze zákona č. 58/1995 Sb., o pojišťování a financování vývozu se státní podporou, ve znění pozdějších předpisů, stát ručí podle § 8 za závazky Exportní, garanční a pojišťovací společnosti, a.s. (EGAP) z pojištění vývozních úvěrových rizik, za závazky České exportní banky (ČEB) za splácení finančních zdrojů </w:t>
      </w:r>
      <w:r w:rsidRPr="005A7B7B">
        <w:t>získaných exportní bankou a za její závazky z ostatních operací na finančních trzích. ČEB předpokládá, že v roce 2025 se tyto závazky zvýší ve srovnání s rokem 2024 o 3 mld. Kč na limitní objem 30 mld. Kč. Banka při odhadu státní záruky zohledňuje predikci obchodní aktivity, která vychází z aktualizované základní varianty výhledu hospodaření. Rizikem pro státní rozpočet z těchto záruk je plnění v případě, že by exportní banka nemohla splácet své závazky. Pojistná kapacita EGAP je navržena ve výši 200 mld. Kč, jedná se o meziroční pokles o 18 mld. Kč. Rozpočtová pojistná kapacita představuje v souladu se zákonem maximální horní limit veškeré pojistné angažovanosti a sama o sobě nevytváří žádné další požadavky na prostředky ze státního rozpočtu.</w:t>
      </w:r>
    </w:p>
    <w:p w:rsidR="00055515" w:rsidRDefault="003B0C92" w:rsidP="00C717BF">
      <w:pPr>
        <w:pStyle w:val="SRTextnomal"/>
      </w:pPr>
      <w:r w:rsidRPr="005A7B7B">
        <w:t>Celkový přehled o poskytnutých státních zárukách, jejich objemu, splatnosti a předpokládaných splátkách v roce 2025 obsahuje tabulka č. 20 v Tabulkové části.</w:t>
      </w:r>
    </w:p>
    <w:p w:rsidR="00010F62" w:rsidRDefault="00010F62" w:rsidP="00C717BF">
      <w:pPr>
        <w:pStyle w:val="SRTextnomal"/>
        <w:sectPr w:rsidR="00010F62" w:rsidSect="00187B06">
          <w:type w:val="continuous"/>
          <w:pgSz w:w="11906" w:h="16838" w:code="9"/>
          <w:pgMar w:top="1134" w:right="1134" w:bottom="1134" w:left="1134" w:header="709" w:footer="709" w:gutter="0"/>
          <w:cols w:num="2" w:space="709"/>
          <w:docGrid w:linePitch="360"/>
        </w:sectPr>
      </w:pPr>
    </w:p>
    <w:p w:rsidR="00010F62" w:rsidRDefault="00010F62" w:rsidP="00C717BF">
      <w:pPr>
        <w:pStyle w:val="SRTextnomal"/>
      </w:pPr>
    </w:p>
    <w:p w:rsidR="00010F62" w:rsidRPr="005A7B7B" w:rsidRDefault="00010F62" w:rsidP="00010F62">
      <w:pPr>
        <w:pStyle w:val="SRNadpis2"/>
      </w:pPr>
      <w:bookmarkStart w:id="166" w:name="_Toc52369880"/>
      <w:bookmarkStart w:id="167" w:name="_Toc175913904"/>
      <w:r w:rsidRPr="005A7B7B">
        <w:t>Výdaje na výzkum, vývoj a inovace</w:t>
      </w:r>
      <w:bookmarkEnd w:id="166"/>
      <w:bookmarkEnd w:id="167"/>
    </w:p>
    <w:p w:rsidR="00010F62" w:rsidRPr="005A7B7B" w:rsidRDefault="00010F62" w:rsidP="00010F62">
      <w:pPr>
        <w:pStyle w:val="SRNadpis2"/>
        <w:sectPr w:rsidR="00010F62" w:rsidRPr="005A7B7B" w:rsidSect="00010F62">
          <w:type w:val="continuous"/>
          <w:pgSz w:w="11906" w:h="16838" w:code="9"/>
          <w:pgMar w:top="1134" w:right="1134" w:bottom="1134" w:left="1134" w:header="709" w:footer="709" w:gutter="0"/>
          <w:cols w:space="397"/>
          <w:docGrid w:linePitch="360"/>
        </w:sectPr>
      </w:pPr>
    </w:p>
    <w:p w:rsidR="00010F62" w:rsidRPr="005A7B7B" w:rsidRDefault="00010F62" w:rsidP="00010F62">
      <w:pPr>
        <w:pStyle w:val="SRTextnomal"/>
      </w:pPr>
      <w:r w:rsidRPr="005A7B7B">
        <w:t xml:space="preserve">Ve státním rozpočtu na rok 2025 jsou na </w:t>
      </w:r>
      <w:r w:rsidRPr="00C717BF">
        <w:t>oblast</w:t>
      </w:r>
      <w:r w:rsidRPr="005A7B7B">
        <w:t xml:space="preserve"> podpory výzkumu, vývoje a inovací zahrnuty výdaje v celkovém objemu 51,6 mld. Kč, což oproti roku 2024 představuje </w:t>
      </w:r>
      <w:r w:rsidRPr="005A7B7B">
        <w:t>zvýšení o 3,8 mld. Kč (tj. o 7,9 %). Podíl těchto výdajů na HDP v b. c. pro rok 2025 dosahuje 0,61 %.</w:t>
      </w:r>
    </w:p>
    <w:p w:rsidR="00010F62" w:rsidRPr="005A7B7B" w:rsidRDefault="00010F62" w:rsidP="00010F62">
      <w:pPr>
        <w:pStyle w:val="SRTextnomal"/>
        <w:sectPr w:rsidR="00010F62" w:rsidRPr="005A7B7B" w:rsidSect="00187B06">
          <w:type w:val="continuous"/>
          <w:pgSz w:w="11906" w:h="16838" w:code="9"/>
          <w:pgMar w:top="1134" w:right="1134" w:bottom="1134" w:left="1134" w:header="709" w:footer="709" w:gutter="0"/>
          <w:cols w:num="2" w:space="397"/>
          <w:docGrid w:linePitch="360"/>
        </w:sectPr>
      </w:pPr>
    </w:p>
    <w:p w:rsidR="00010F62" w:rsidRPr="005A7B7B" w:rsidRDefault="00010F62" w:rsidP="00010F62">
      <w:pPr>
        <w:pStyle w:val="SRTitulek1"/>
        <w:rPr>
          <w:i/>
        </w:rPr>
      </w:pPr>
      <w:bookmarkStart w:id="168" w:name="_Toc80264022"/>
      <w:bookmarkStart w:id="169" w:name="_Toc175913947"/>
      <w:r w:rsidRPr="005A7B7B">
        <w:t xml:space="preserve">Tabulka </w:t>
      </w:r>
      <w:fldSimple w:instr=" SEQ Tabulka \* ARABIC ">
        <w:r w:rsidR="0010122A">
          <w:rPr>
            <w:noProof/>
          </w:rPr>
          <w:t>25</w:t>
        </w:r>
      </w:fldSimple>
      <w:r w:rsidRPr="005A7B7B">
        <w:t xml:space="preserve"> Vývoj výdajů na výzkum, vývoj a inovace </w:t>
      </w:r>
      <w:r w:rsidRPr="005A7B7B">
        <w:rPr>
          <w:i/>
        </w:rPr>
        <w:t>(v mld. Kč)</w:t>
      </w:r>
      <w:bookmarkEnd w:id="168"/>
      <w:bookmarkEnd w:id="169"/>
    </w:p>
    <w:p w:rsidR="00010F62" w:rsidRPr="00C717BF" w:rsidRDefault="00010F62" w:rsidP="00010F62">
      <w:pPr>
        <w:pStyle w:val="SRTextnomal"/>
      </w:pPr>
      <w:r w:rsidRPr="00C717BF">
        <w:rPr>
          <w:noProof/>
        </w:rPr>
        <w:drawing>
          <wp:inline distT="0" distB="0" distL="0" distR="0" wp14:anchorId="6B1C93F5" wp14:editId="426505EE">
            <wp:extent cx="6115050" cy="145732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1457325"/>
                    </a:xfrm>
                    <a:prstGeom prst="rect">
                      <a:avLst/>
                    </a:prstGeom>
                    <a:noFill/>
                    <a:ln>
                      <a:noFill/>
                    </a:ln>
                  </pic:spPr>
                </pic:pic>
              </a:graphicData>
            </a:graphic>
          </wp:inline>
        </w:drawing>
      </w:r>
    </w:p>
    <w:p w:rsidR="00010F62" w:rsidRPr="00C717BF" w:rsidRDefault="00010F62" w:rsidP="00010F62">
      <w:pPr>
        <w:pStyle w:val="SRTextnomal"/>
        <w:sectPr w:rsidR="00010F62" w:rsidRPr="00C717BF" w:rsidSect="00187B06">
          <w:type w:val="continuous"/>
          <w:pgSz w:w="11906" w:h="16838" w:code="9"/>
          <w:pgMar w:top="1134" w:right="1134" w:bottom="1134" w:left="1134" w:header="709" w:footer="709" w:gutter="0"/>
          <w:cols w:space="397"/>
          <w:docGrid w:linePitch="360"/>
        </w:sectPr>
      </w:pPr>
    </w:p>
    <w:p w:rsidR="00010F62" w:rsidRPr="005A7B7B" w:rsidRDefault="00010F62" w:rsidP="00010F62">
      <w:pPr>
        <w:pStyle w:val="SRTextnomal"/>
      </w:pPr>
    </w:p>
    <w:p w:rsidR="00010F62" w:rsidRPr="005A7B7B" w:rsidRDefault="00010F62" w:rsidP="00010F62">
      <w:pPr>
        <w:pStyle w:val="SRTextnomal"/>
        <w:sectPr w:rsidR="00010F62" w:rsidRPr="005A7B7B" w:rsidSect="00187B06">
          <w:type w:val="continuous"/>
          <w:pgSz w:w="11906" w:h="16838" w:code="9"/>
          <w:pgMar w:top="1134" w:right="1134" w:bottom="1134" w:left="1134" w:header="709" w:footer="709" w:gutter="0"/>
          <w:cols w:space="397"/>
          <w:docGrid w:linePitch="360"/>
        </w:sectPr>
      </w:pPr>
    </w:p>
    <w:p w:rsidR="00010F62" w:rsidRPr="005A7B7B" w:rsidRDefault="00010F62" w:rsidP="00010F62">
      <w:pPr>
        <w:pStyle w:val="SRTitulek1"/>
        <w:rPr>
          <w:i/>
        </w:rPr>
      </w:pPr>
      <w:bookmarkStart w:id="170" w:name="_Toc175913972"/>
      <w:r w:rsidRPr="005A7B7B">
        <w:lastRenderedPageBreak/>
        <w:t xml:space="preserve">Graf </w:t>
      </w:r>
      <w:fldSimple w:instr=" SEQ Graf \* ARABIC ">
        <w:r w:rsidR="0010122A">
          <w:rPr>
            <w:noProof/>
          </w:rPr>
          <w:t>18</w:t>
        </w:r>
      </w:fldSimple>
      <w:r w:rsidRPr="005A7B7B">
        <w:t xml:space="preserve"> </w:t>
      </w:r>
      <w:bookmarkStart w:id="171" w:name="OLE_LINK1"/>
      <w:r w:rsidRPr="005A7B7B">
        <w:t xml:space="preserve">Rozdělení výdajů na výzkum, vývoj a inovace dle institucionálních a účelových výdajů a výdajů krytých zahraničními zdroji </w:t>
      </w:r>
      <w:r w:rsidRPr="005A7B7B">
        <w:rPr>
          <w:i/>
        </w:rPr>
        <w:t>(v mld. Kč)</w:t>
      </w:r>
      <w:bookmarkEnd w:id="171"/>
      <w:bookmarkEnd w:id="170"/>
    </w:p>
    <w:p w:rsidR="00010F62" w:rsidRPr="005A7B7B" w:rsidRDefault="00010F62" w:rsidP="00010F62">
      <w:pPr>
        <w:pStyle w:val="SRTextnomal"/>
      </w:pPr>
      <w:r w:rsidRPr="005A7B7B">
        <w:rPr>
          <w:noProof/>
        </w:rPr>
        <w:drawing>
          <wp:inline distT="0" distB="0" distL="0" distR="0" wp14:anchorId="38A152E7" wp14:editId="1FF640C9">
            <wp:extent cx="5737860" cy="4748530"/>
            <wp:effectExtent l="0" t="0" r="0" b="0"/>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7860" cy="4748530"/>
                    </a:xfrm>
                    <a:prstGeom prst="rect">
                      <a:avLst/>
                    </a:prstGeom>
                    <a:noFill/>
                  </pic:spPr>
                </pic:pic>
              </a:graphicData>
            </a:graphic>
          </wp:inline>
        </w:drawing>
      </w:r>
    </w:p>
    <w:p w:rsidR="00010F62" w:rsidRPr="005A7B7B" w:rsidRDefault="00010F62" w:rsidP="00010F62">
      <w:pPr>
        <w:pStyle w:val="SRTextnomal"/>
        <w:sectPr w:rsidR="00010F62" w:rsidRPr="005A7B7B" w:rsidSect="00187B06">
          <w:type w:val="continuous"/>
          <w:pgSz w:w="11906" w:h="16838" w:code="9"/>
          <w:pgMar w:top="1134" w:right="1134" w:bottom="1134" w:left="1134" w:header="709" w:footer="709" w:gutter="0"/>
          <w:cols w:space="397"/>
          <w:docGrid w:linePitch="360"/>
        </w:sectPr>
      </w:pPr>
    </w:p>
    <w:p w:rsidR="00010F62" w:rsidRPr="005A7B7B" w:rsidRDefault="00010F62" w:rsidP="00010F62">
      <w:pPr>
        <w:pStyle w:val="SRTextnomal"/>
      </w:pPr>
    </w:p>
    <w:p w:rsidR="00010F62" w:rsidRPr="005A7B7B" w:rsidRDefault="00010F62" w:rsidP="00010F62">
      <w:pPr>
        <w:pStyle w:val="SRTextnomal"/>
        <w:sectPr w:rsidR="00010F62" w:rsidRPr="005A7B7B" w:rsidSect="00187B06">
          <w:type w:val="continuous"/>
          <w:pgSz w:w="11906" w:h="16838" w:code="9"/>
          <w:pgMar w:top="1134" w:right="1134" w:bottom="1134" w:left="1134" w:header="709" w:footer="709" w:gutter="0"/>
          <w:cols w:space="397"/>
          <w:docGrid w:linePitch="360"/>
        </w:sectPr>
      </w:pPr>
    </w:p>
    <w:p w:rsidR="00010F62" w:rsidRPr="005A7B7B" w:rsidRDefault="00010F62" w:rsidP="00010F62">
      <w:pPr>
        <w:pStyle w:val="SRTextnomal"/>
      </w:pPr>
      <w:r w:rsidRPr="005A7B7B">
        <w:t>V rámci celkového objemu podpory pro rok 2025 jsou zahrnuty výdaje na předfinancování výdajů krytých příjmy z EU a FM v kapitole Ministerstvo školství, mládeže a tělovýchovy ve výši 4,4 mld. Kč, v kapitole Ministerstvo průmyslu a obchodu ve výši 2,8 mld. Kč, v kapitole Technologická agentura ČR ve výši 1,1 mld. Kč, v kapitole Ministerstvo obrany ve výši 11 mil. Kč a v kapitole Akademie věd ČR ve výši 0,3 mil. Kč a v kapitole Ministerstvo dopravy 0,3 mil. Kč. Součástí výdajů na předfinancování kapitol jsou i prostředky Nástroje na podporu a oživení (Recovery and Resilience Facility) v rámci Národního plánu obnovy, a to v kapitole Ministerstvo průmyslu a obchodu částka 756 mil. Kč na Podporu výzkumu a vývoje v podnicích a zavádění inovací do podnikové praxe, v kapitole Ministerstvo školství, mládeže a tělovýchovy 1,1 mld. Kč na Excelentní výzkum a vývoj ve zdravotnictví a v kapitole Technologická agentura ČR 35,4 mil. Kč na Digitální vysokorychlostní sítě a 1,1 mld. Kč na Podporu výzkumu a vývoje v podnicích a zavádění inovací do podnikové praxe.</w:t>
      </w:r>
    </w:p>
    <w:p w:rsidR="00010F62" w:rsidRPr="005A7B7B" w:rsidRDefault="00010F62" w:rsidP="00010F62">
      <w:pPr>
        <w:pStyle w:val="SRTextnomal"/>
      </w:pPr>
      <w:r w:rsidRPr="005A7B7B">
        <w:t>Výdaje ze státního rozpočtu na podporu výzkumu, vývoje a inovací, bez výdajů krytých příjmy z rozpočtu EU a FM, činí 43,3 mld. Kč. Což představuje zvýšení proti roku 2024 o 3,1 mld. Kč.</w:t>
      </w:r>
    </w:p>
    <w:p w:rsidR="00010F62" w:rsidRPr="005A7B7B" w:rsidRDefault="00010F62" w:rsidP="00010F62">
      <w:pPr>
        <w:pStyle w:val="SRTextnomal"/>
      </w:pPr>
      <w:r w:rsidRPr="005A7B7B">
        <w:t xml:space="preserve">V částce 43,3 mld. Kč jsou zahrnuty výdaje státního rozpočtu na spolufinancování výdajů krytých příjmy z rozpočtu EU a FM v kapitole Ministerstvo školství, mládeže a tělovýchovy ve výši 2 mld. Kč, v kapitole Technologická agentura ČR ve výši 2 mil. Kč a v kapitole Akademie věd ČR ve výši 2,4 mil. Kč. </w:t>
      </w:r>
    </w:p>
    <w:p w:rsidR="00010F62" w:rsidRPr="005A7B7B" w:rsidRDefault="00010F62" w:rsidP="00010F62">
      <w:pPr>
        <w:pStyle w:val="SRTextnomal"/>
      </w:pPr>
      <w:r w:rsidRPr="005A7B7B">
        <w:t>V rámci národní části podpory výzkumu, vývoje a inovací byly podle aktuálních ekonomických parametrů zohledněny potřeby napříč systémem výzkumu, vývoje a inovací. V rámci navýšení účelové podpory ve výši 1 mld. Kč proti roku 2024 bylo vzato v úvahu posílení této oblasti v rámci Národního plánu obnovy z evropských zdrojů v kapitole Technologická agentura ČR, podpora základního i aplikovaného výzkumu. V kapitole Technologická agentura ČR jsou nově obsaženy výdaje na obranu státu ve výši 100 mil. Kč na nový program PRODEF Ministerstva obrany. V rámci navýšení celkového objemu institucionální podpory ve výši 2,1 mld. Kč došlo k posílení zejména dlouhodobého koncepčního rozvoje výzkumných organizací v kapitolách poskytovatelů podpory na částku celkem 18,1 mld. Kč, proti předchozímu roku o 0,6 mld. Kč více.</w:t>
      </w:r>
      <w:r w:rsidRPr="005A7B7B">
        <w:rPr>
          <w:b/>
        </w:rPr>
        <w:t xml:space="preserve"> </w:t>
      </w:r>
      <w:r w:rsidRPr="005A7B7B">
        <w:t xml:space="preserve">V rámci zvýšení institucionální podpory v kapitole Ministerstvo školství, mládeže a tělovýchovy celkem o 1,6 mld. Kč  byla dále </w:t>
      </w:r>
      <w:r w:rsidRPr="005A7B7B">
        <w:lastRenderedPageBreak/>
        <w:t xml:space="preserve">primárně zajištěna mezinárodní podpora výzkumu a vývoje a spolufinancování evropských zdrojů. Institucionální podpora byla dále zvýšena na zajištění administraci účelové podpory v kapitolách Grantová agentura ČR a Technologická agentura ČR a dále na činnost ústavů Akademie věd ČR. </w:t>
      </w:r>
    </w:p>
    <w:p w:rsidR="00010F62" w:rsidRPr="005A7B7B" w:rsidRDefault="00010F62" w:rsidP="00010F62">
      <w:pPr>
        <w:pStyle w:val="SRTextnomal"/>
      </w:pPr>
      <w:r w:rsidRPr="005A7B7B">
        <w:t xml:space="preserve">Podíl institucionální podpory k národní části celkové podpory výzkumu, vývoje a inovací činí 58,2 % a účelové </w:t>
      </w:r>
      <w:r w:rsidRPr="005A7B7B">
        <w:t xml:space="preserve">podpory 41,8 %, což odpovídá aktuálnímu mezinárodnímu trendu. </w:t>
      </w:r>
    </w:p>
    <w:p w:rsidR="00010F62" w:rsidRPr="005A7B7B" w:rsidRDefault="00010F62" w:rsidP="00010F62">
      <w:pPr>
        <w:pStyle w:val="SRTextnomal"/>
        <w:rPr>
          <w:rFonts w:cs="Calibri"/>
          <w:bCs/>
        </w:rPr>
      </w:pPr>
      <w:r w:rsidRPr="005A7B7B">
        <w:t>Rozpočet výdajů státního rozpočtu na rok 2025 vychází ve věcném hledisku z parametrů uvedených v materiálu předloženém Radou pro výzkum, vývoj a inovace, který byl vzat vládou na vědomí usnesením č. 379/2024, k rozpočtu výdajů na výzkum, experimentální vývoj a inovace na rok 2025 se střednědobým výhledem na léta 2026 a 2027 a dlouhodobým výhledem do roku 2031.</w:t>
      </w:r>
    </w:p>
    <w:p w:rsidR="00010F62" w:rsidRPr="005A7B7B" w:rsidRDefault="00010F62" w:rsidP="00010F62">
      <w:pPr>
        <w:pStyle w:val="SRTextnomal"/>
        <w:sectPr w:rsidR="00010F62" w:rsidRPr="005A7B7B" w:rsidSect="00187B06">
          <w:type w:val="continuous"/>
          <w:pgSz w:w="11906" w:h="16838" w:code="9"/>
          <w:pgMar w:top="1134" w:right="1134" w:bottom="1134" w:left="1134" w:header="709" w:footer="709" w:gutter="0"/>
          <w:cols w:num="2" w:space="397"/>
          <w:docGrid w:linePitch="360"/>
        </w:sectPr>
      </w:pPr>
    </w:p>
    <w:p w:rsidR="00A81137" w:rsidRPr="005A7B7B" w:rsidRDefault="006B0F86" w:rsidP="00D06E57">
      <w:pPr>
        <w:pStyle w:val="SRNadpis2"/>
      </w:pPr>
      <w:bookmarkStart w:id="172" w:name="_Ref144553059"/>
      <w:bookmarkStart w:id="173" w:name="_Toc52369881"/>
      <w:bookmarkStart w:id="174" w:name="_Toc175913905"/>
      <w:r w:rsidRPr="005A7B7B">
        <w:t>Výdaje na obranu státu</w:t>
      </w:r>
      <w:bookmarkEnd w:id="172"/>
      <w:bookmarkEnd w:id="174"/>
    </w:p>
    <w:p w:rsidR="00A81137" w:rsidRPr="005A7B7B" w:rsidRDefault="00A81137" w:rsidP="00D06E57">
      <w:pPr>
        <w:pStyle w:val="SRNadpis2"/>
        <w:sectPr w:rsidR="00A81137" w:rsidRPr="005A7B7B" w:rsidSect="00187B06">
          <w:type w:val="continuous"/>
          <w:pgSz w:w="11906" w:h="16838" w:code="9"/>
          <w:pgMar w:top="1134" w:right="1134" w:bottom="1134" w:left="1134" w:header="709" w:footer="709" w:gutter="0"/>
          <w:cols w:space="397"/>
          <w:docGrid w:linePitch="360"/>
        </w:sectPr>
      </w:pPr>
    </w:p>
    <w:p w:rsidR="00753B08" w:rsidRPr="005A7B7B" w:rsidRDefault="00753B08" w:rsidP="00753B08">
      <w:pPr>
        <w:pStyle w:val="SRTextnomal"/>
      </w:pPr>
      <w:r w:rsidRPr="005A7B7B">
        <w:t>Při stanovení celkových výdajů na obranu státu bylo postupováno v souladu s platnou legislativou, zákonem č. 177/2023 Sb., o financování obrany České republiky.</w:t>
      </w:r>
    </w:p>
    <w:p w:rsidR="00753B08" w:rsidRPr="005A7B7B" w:rsidRDefault="00753B08" w:rsidP="00753B08">
      <w:pPr>
        <w:pStyle w:val="SRTextnomal"/>
      </w:pPr>
      <w:r w:rsidRPr="005A7B7B">
        <w:t xml:space="preserve">Výdaje na obranu státu mají být podle této normy plánovány v minimální výši 2 % nominálního HDP vyčíslené na základě prognózy v Rozpočtové strategii sektoru veřejných institucí podle zákona o pravidlech rozpočtové odpovědnosti. </w:t>
      </w:r>
    </w:p>
    <w:p w:rsidR="00753B08" w:rsidRPr="005A7B7B" w:rsidRDefault="00753B08" w:rsidP="00753B08">
      <w:pPr>
        <w:pStyle w:val="SRTextnomal"/>
      </w:pPr>
      <w:r w:rsidRPr="005A7B7B">
        <w:t>V roce 2025 je na tyto výdaje ve státním rozpočtu vyčleněna částka 160,8 mld. Kč, což splňuje zadané kritérium podílu na nominálním HDP. Z této výše je 96 % celkových výdajů na obranu státu rozpočtováno v kapitole Ministerstvo obrany. Obranné výdaje jsou dále identifikovány v dalších rozpočtových kapitolách podle níže uvedené tabulky.</w:t>
      </w:r>
    </w:p>
    <w:p w:rsidR="00753B08" w:rsidRPr="005A7B7B" w:rsidRDefault="00753B08" w:rsidP="00755DA7">
      <w:pPr>
        <w:pStyle w:val="SRTextnomal"/>
      </w:pPr>
      <w:r w:rsidRPr="005A7B7B">
        <w:t xml:space="preserve">Celkové výdaje kapitoly Ministerstvo obrany na rok 2025 činí 154,3 mld. Kč. Oproti schválenému rozpočtu na rok 2024 došlo k nárůstu celkových výdajů o 3,2 mld. Kč. V meziročním srovnání je tak patrná rostoucí trajektorie výdajů kapitoly. Výdaje jsou směřovány zejména na rozvoj obranných schopností a modernizaci Armády ČR („AČR“). K její podpoře je </w:t>
      </w:r>
      <w:r w:rsidRPr="00755DA7">
        <w:t>klíčová</w:t>
      </w:r>
      <w:r w:rsidRPr="005A7B7B">
        <w:t xml:space="preserve"> oblast programového financování, na níž je vyčleněno 45 % celkových výdajů kapitoly. Největší objem finančních prostředků připadá na následující programy - Strategický program pozemních sil, Udržení a rozvoj schopností nadzvukového letectva II, Udržení a rozvoj schopností spojovacího vojska AČR a Udržení a rozvoj schopností logistické podpory. </w:t>
      </w:r>
    </w:p>
    <w:p w:rsidR="00753B08" w:rsidRPr="005A7B7B" w:rsidRDefault="00753B08" w:rsidP="00753B08">
      <w:pPr>
        <w:pStyle w:val="SRTextnomal"/>
      </w:pPr>
    </w:p>
    <w:p w:rsidR="00A81137" w:rsidRPr="005A7B7B" w:rsidRDefault="00A81137" w:rsidP="00A81137">
      <w:pPr>
        <w:pStyle w:val="SRTitulek1"/>
        <w:sectPr w:rsidR="00A81137" w:rsidRPr="005A7B7B" w:rsidSect="00187B06">
          <w:type w:val="continuous"/>
          <w:pgSz w:w="11906" w:h="16838" w:code="9"/>
          <w:pgMar w:top="1134" w:right="1134" w:bottom="1134" w:left="1134" w:header="709" w:footer="709" w:gutter="0"/>
          <w:cols w:num="2" w:space="397"/>
          <w:docGrid w:linePitch="360"/>
        </w:sectPr>
      </w:pPr>
      <w:bookmarkStart w:id="175" w:name="_Toc10202242"/>
    </w:p>
    <w:p w:rsidR="00A81137" w:rsidRPr="005A7B7B" w:rsidRDefault="00A81137" w:rsidP="00A81137">
      <w:pPr>
        <w:pStyle w:val="SRTitulek1"/>
      </w:pPr>
      <w:bookmarkStart w:id="176" w:name="_Toc80264025"/>
      <w:bookmarkStart w:id="177" w:name="_Toc175913948"/>
      <w:r w:rsidRPr="005A7B7B">
        <w:t xml:space="preserve">Tabulka </w:t>
      </w:r>
      <w:fldSimple w:instr=" SEQ Tabulka \* ARABIC ">
        <w:r w:rsidR="0010122A">
          <w:rPr>
            <w:noProof/>
          </w:rPr>
          <w:t>26</w:t>
        </w:r>
      </w:fldSimple>
      <w:r w:rsidR="006B0F86" w:rsidRPr="005A7B7B">
        <w:t xml:space="preserve"> Výdaje</w:t>
      </w:r>
      <w:r w:rsidRPr="005A7B7B">
        <w:t xml:space="preserve"> na obranu</w:t>
      </w:r>
      <w:bookmarkEnd w:id="175"/>
      <w:r w:rsidRPr="005A7B7B">
        <w:t xml:space="preserve"> </w:t>
      </w:r>
      <w:r w:rsidR="006B0F86" w:rsidRPr="005A7B7B">
        <w:t xml:space="preserve">státu podle kapitol státního rozpočtu </w:t>
      </w:r>
      <w:r w:rsidR="00C4799B" w:rsidRPr="005A7B7B">
        <w:rPr>
          <w:i/>
        </w:rPr>
        <w:t>(v</w:t>
      </w:r>
      <w:r w:rsidRPr="005A7B7B">
        <w:rPr>
          <w:i/>
        </w:rPr>
        <w:t xml:space="preserve"> Kč)</w:t>
      </w:r>
      <w:bookmarkEnd w:id="176"/>
      <w:bookmarkEnd w:id="177"/>
    </w:p>
    <w:p w:rsidR="00A81137" w:rsidRPr="005A7B7B" w:rsidRDefault="00375E48" w:rsidP="00A81137">
      <w:r w:rsidRPr="005A7B7B">
        <w:rPr>
          <w:noProof/>
        </w:rPr>
        <w:drawing>
          <wp:inline distT="0" distB="0" distL="0" distR="0">
            <wp:extent cx="3933825" cy="280035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33825" cy="2800350"/>
                    </a:xfrm>
                    <a:prstGeom prst="rect">
                      <a:avLst/>
                    </a:prstGeom>
                    <a:noFill/>
                    <a:ln>
                      <a:noFill/>
                    </a:ln>
                  </pic:spPr>
                </pic:pic>
              </a:graphicData>
            </a:graphic>
          </wp:inline>
        </w:drawing>
      </w:r>
    </w:p>
    <w:p w:rsidR="009B5A38" w:rsidRPr="005A7B7B" w:rsidRDefault="009B5A38" w:rsidP="00A81137">
      <w:pPr>
        <w:sectPr w:rsidR="009B5A38" w:rsidRPr="005A7B7B" w:rsidSect="00187B06">
          <w:type w:val="continuous"/>
          <w:pgSz w:w="11906" w:h="16838" w:code="9"/>
          <w:pgMar w:top="1134" w:right="1134" w:bottom="1134" w:left="1134" w:header="709" w:footer="709" w:gutter="0"/>
          <w:cols w:space="397"/>
          <w:docGrid w:linePitch="360"/>
        </w:sectPr>
      </w:pPr>
    </w:p>
    <w:p w:rsidR="00B638BA" w:rsidRPr="005A7B7B" w:rsidRDefault="00B638BA" w:rsidP="00A81137"/>
    <w:p w:rsidR="007453AB" w:rsidRPr="005A7B7B" w:rsidRDefault="00DF5AF5" w:rsidP="000F3B85">
      <w:pPr>
        <w:pStyle w:val="SRNadpis1"/>
      </w:pPr>
      <w:bookmarkStart w:id="178" w:name="_Toc175913906"/>
      <w:r w:rsidRPr="005A7B7B">
        <w:lastRenderedPageBreak/>
        <w:t>Komentáře k</w:t>
      </w:r>
      <w:r w:rsidR="00EF6886" w:rsidRPr="005A7B7B">
        <w:t xml:space="preserve"> rozpočtů</w:t>
      </w:r>
      <w:r w:rsidRPr="005A7B7B">
        <w:t>m</w:t>
      </w:r>
      <w:r w:rsidR="00A81137" w:rsidRPr="005A7B7B">
        <w:t xml:space="preserve"> vybraných kapitol státního rozpočtu</w:t>
      </w:r>
      <w:bookmarkEnd w:id="173"/>
      <w:bookmarkEnd w:id="178"/>
    </w:p>
    <w:p w:rsidR="00BE47A1" w:rsidRPr="005A7B7B" w:rsidRDefault="00FE1B9E" w:rsidP="004912D7">
      <w:pPr>
        <w:pStyle w:val="SRNadpis2"/>
      </w:pPr>
      <w:bookmarkStart w:id="179" w:name="_Toc52369885"/>
      <w:bookmarkStart w:id="180" w:name="_Toc52369888"/>
      <w:bookmarkStart w:id="181" w:name="_Toc52369882"/>
      <w:bookmarkStart w:id="182" w:name="_Toc175913907"/>
      <w:r w:rsidRPr="005A7B7B">
        <w:t>Komentář k rozpočtu</w:t>
      </w:r>
      <w:r w:rsidR="00BE47A1" w:rsidRPr="005A7B7B">
        <w:t xml:space="preserve"> kapitoly Ministerstvo vnitra</w:t>
      </w:r>
      <w:bookmarkEnd w:id="182"/>
    </w:p>
    <w:p w:rsidR="00BE47A1" w:rsidRPr="005A7B7B" w:rsidRDefault="00BE47A1" w:rsidP="004912D7">
      <w:pPr>
        <w:pStyle w:val="SRNadpis2"/>
        <w:rPr>
          <w:rFonts w:cs="Calibri"/>
        </w:rPr>
        <w:sectPr w:rsidR="00BE47A1" w:rsidRPr="005A7B7B" w:rsidSect="00187B06">
          <w:type w:val="continuous"/>
          <w:pgSz w:w="11906" w:h="16838" w:code="9"/>
          <w:pgMar w:top="1134" w:right="1134" w:bottom="1134" w:left="1134" w:header="709" w:footer="709" w:gutter="0"/>
          <w:cols w:space="397"/>
          <w:docGrid w:linePitch="360"/>
        </w:sectPr>
      </w:pPr>
    </w:p>
    <w:p w:rsidR="007160A0" w:rsidRPr="005A7B7B" w:rsidRDefault="007160A0" w:rsidP="007160A0">
      <w:pPr>
        <w:pStyle w:val="SRTextnomal"/>
      </w:pPr>
      <w:r w:rsidRPr="005A7B7B">
        <w:t>Výdaje kapitoly jsou navrhovány ve výši 105 mld. Kč, tj. nárůst o 7,7 % oproti schválenému rozpočtu na rok 2024. Ve výdajích kapitoly je zahrnut podíl rozpočtu Evropské unie ve výši 3,7 mld. Kč a podíl prostředků finančních mechanismů ve výši 286,5 tis. Kč.</w:t>
      </w:r>
    </w:p>
    <w:p w:rsidR="007160A0" w:rsidRPr="005A7B7B" w:rsidRDefault="007160A0" w:rsidP="007160A0">
      <w:pPr>
        <w:pStyle w:val="SRTextnomal"/>
      </w:pPr>
      <w:r w:rsidRPr="005A7B7B">
        <w:t>Výdaje Policie ČR bez výdajů na sociální dávky, výdajů policejního školství a výdajů Muzea Policie ČR jsou navrhovány ve výši 52,4 mld. Kč, tj. nárůst o 3,5 % oproti schválenému rozpočtu na rok 2024.</w:t>
      </w:r>
    </w:p>
    <w:p w:rsidR="007160A0" w:rsidRPr="005A7B7B" w:rsidRDefault="007160A0" w:rsidP="007160A0">
      <w:pPr>
        <w:pStyle w:val="SRTextnomal"/>
      </w:pPr>
      <w:r w:rsidRPr="005A7B7B">
        <w:t>Výdaje Hasičského záchranného sboru ČR bez výdajů na sociální dávky jsou navrhovány ve výši 15,1 mld. Kč, tj. nárůst o 10,2 % oproti schválenému rozpočtu na rok 2024. Investiční dotace určené pro jednotky sboru dobrovolných hasičů obcí na pořízení požární techniky a stavbu nebo rekonstrukce požární zbrojnice jsou navrhovány ve výši 710 mil. Kč.</w:t>
      </w:r>
    </w:p>
    <w:p w:rsidR="007160A0" w:rsidRPr="005A7B7B" w:rsidRDefault="007160A0" w:rsidP="007160A0">
      <w:pPr>
        <w:pStyle w:val="SRTextnomal"/>
      </w:pPr>
      <w:r w:rsidRPr="005A7B7B">
        <w:t xml:space="preserve">U výdajů na dávky důchodového pojištění, které jsou navrhovány ve výši 10,3 mld. Kč, dochází oproti schválenému rozpočtu na rok 2024 k nárůstu o 944,5 mil. Kč, a to vzhledem k vývoji výdajů v této </w:t>
      </w:r>
      <w:r w:rsidRPr="005A7B7B">
        <w:t>oblasti, očekávanému přírůstku počtu dávek a zvýšení vyplácených dávek.</w:t>
      </w:r>
    </w:p>
    <w:p w:rsidR="007160A0" w:rsidRPr="005A7B7B" w:rsidRDefault="007160A0" w:rsidP="00755DA7">
      <w:pPr>
        <w:pStyle w:val="SRTextnomal"/>
      </w:pPr>
      <w:r w:rsidRPr="005A7B7B">
        <w:t xml:space="preserve">Výdaje na zvláštní sociální dávky příslušníků bezpečnostních sborů při skončení služebního poměru jsou navrhovány ve výši 9,8 mld. Kč. Tyto výdaje se zvyšují oproti </w:t>
      </w:r>
      <w:r w:rsidRPr="00755DA7">
        <w:t>schválenému</w:t>
      </w:r>
      <w:r w:rsidRPr="005A7B7B">
        <w:t xml:space="preserve"> rozpočtu na rok 2024 o 914,8 mil. Kč vlivem očekávaného počtu případů skončení služebního poměru a z důvodu valorizace výsluhového příspěvku ve stejných termínech jako je valorizována procentní výměra dávek důchodového pojištění.</w:t>
      </w:r>
    </w:p>
    <w:p w:rsidR="007160A0" w:rsidRPr="005A7B7B" w:rsidRDefault="007160A0" w:rsidP="007160A0">
      <w:pPr>
        <w:pStyle w:val="SRTextnomal"/>
      </w:pPr>
      <w:r w:rsidRPr="005A7B7B">
        <w:t>Do návrhu rozpočtu na rok 2025 je zapracováno trvalé navýšení výdajů celkem o 2,95 mld. Kč za účelem posílení rozpočtu provozních výdajů v návaznosti na usnesení vlády č. 528/2024 a k posílení vnitřní bezpečnost ČR.</w:t>
      </w:r>
    </w:p>
    <w:p w:rsidR="00BE47A1" w:rsidRDefault="007160A0" w:rsidP="007160A0">
      <w:pPr>
        <w:pStyle w:val="SRTextnomal"/>
      </w:pPr>
      <w:r w:rsidRPr="005A7B7B">
        <w:t>Dále je do návrhu rozpočtu na rok 2025 zapracováno navýšení výdajů o 0,4 mld. Kč k zajištění výkonu dočasné ochrany s platností do roku 2026 a trvalé navýšení výdajů v oblasti informačních a komunikačních technologií o 0,4 mld. Kč.</w:t>
      </w:r>
    </w:p>
    <w:p w:rsidR="001A381E" w:rsidRPr="005A7B7B" w:rsidRDefault="001A381E" w:rsidP="007160A0">
      <w:pPr>
        <w:pStyle w:val="SRTextnomal"/>
      </w:pPr>
    </w:p>
    <w:p w:rsidR="00BE47A1" w:rsidRPr="005A7B7B" w:rsidRDefault="00BE47A1" w:rsidP="00671AAF">
      <w:pPr>
        <w:pStyle w:val="SRNadpis3"/>
        <w:numPr>
          <w:ilvl w:val="0"/>
          <w:numId w:val="0"/>
        </w:numPr>
        <w:ind w:left="709"/>
        <w:sectPr w:rsidR="00BE47A1" w:rsidRPr="005A7B7B" w:rsidSect="00187B06">
          <w:type w:val="continuous"/>
          <w:pgSz w:w="11906" w:h="16838" w:code="9"/>
          <w:pgMar w:top="1134" w:right="1134" w:bottom="1134" w:left="1134" w:header="709" w:footer="709" w:gutter="0"/>
          <w:cols w:num="2" w:space="397"/>
          <w:docGrid w:linePitch="360"/>
        </w:sectPr>
      </w:pPr>
    </w:p>
    <w:p w:rsidR="00BE47A1" w:rsidRPr="005A7B7B" w:rsidRDefault="00FE1B9E" w:rsidP="004912D7">
      <w:pPr>
        <w:pStyle w:val="SRNadpis2"/>
      </w:pPr>
      <w:bookmarkStart w:id="183" w:name="_Toc175913908"/>
      <w:r w:rsidRPr="005A7B7B">
        <w:t xml:space="preserve">Komentář k rozpočtu kapitoly </w:t>
      </w:r>
      <w:r w:rsidR="00BE47A1" w:rsidRPr="005A7B7B">
        <w:t>Ministerstvo životního prostředí</w:t>
      </w:r>
      <w:bookmarkEnd w:id="183"/>
    </w:p>
    <w:p w:rsidR="00341D7F" w:rsidRPr="005A7B7B" w:rsidRDefault="00341D7F" w:rsidP="00341D7F">
      <w:pPr>
        <w:spacing w:after="0"/>
        <w:sectPr w:rsidR="00341D7F" w:rsidRPr="005A7B7B" w:rsidSect="00187B06">
          <w:type w:val="continuous"/>
          <w:pgSz w:w="11906" w:h="16838" w:code="9"/>
          <w:pgMar w:top="1134" w:right="1134" w:bottom="1134" w:left="1134" w:header="709" w:footer="709" w:gutter="0"/>
          <w:cols w:space="397"/>
          <w:docGrid w:linePitch="360"/>
        </w:sectPr>
      </w:pPr>
    </w:p>
    <w:p w:rsidR="007160A0" w:rsidRPr="005A7B7B" w:rsidRDefault="007160A0" w:rsidP="007160A0">
      <w:pPr>
        <w:pStyle w:val="SRTextnomal"/>
      </w:pPr>
      <w:r w:rsidRPr="005A7B7B">
        <w:t xml:space="preserve">Celkové výdaje kapitoly Ministerstvo životního prostředí jsou pro rok 2025 </w:t>
      </w:r>
      <w:r w:rsidR="001A381E">
        <w:t xml:space="preserve">navrženy v </w:t>
      </w:r>
      <w:r w:rsidR="00EF2353" w:rsidRPr="005A7B7B">
        <w:t>objemu 21,2 </w:t>
      </w:r>
      <w:r w:rsidRPr="005A7B7B">
        <w:t>mld. Kč (z toho bě</w:t>
      </w:r>
      <w:r w:rsidR="00EF2353" w:rsidRPr="005A7B7B">
        <w:t>žné 5,2 mld. Kč a kapitálové 16 </w:t>
      </w:r>
      <w:r w:rsidRPr="005A7B7B">
        <w:t>mld. Kč), tj. zvýšení oproti schválenému rozpočtu roku 2024 o 1,4 %. Velká část výdajů připadá na projekty spolufinancované zcela nebo částečně z rozp</w:t>
      </w:r>
      <w:r w:rsidR="00755DA7">
        <w:t>očtu Evropské unie ve výši 13,8 </w:t>
      </w:r>
      <w:r w:rsidRPr="005A7B7B">
        <w:t>mld. Kč (z toho EU podíl 13, 4 mld. Kč) a finančních mech</w:t>
      </w:r>
      <w:r w:rsidR="00EF2353" w:rsidRPr="005A7B7B">
        <w:t>anismů ve výši 276,1 mil. Kč (z </w:t>
      </w:r>
      <w:r w:rsidRPr="005A7B7B">
        <w:t>toho podíl</w:t>
      </w:r>
      <w:r w:rsidR="00755DA7">
        <w:t xml:space="preserve"> FM 234,7 </w:t>
      </w:r>
      <w:r w:rsidRPr="005A7B7B">
        <w:t>mil. Kč).</w:t>
      </w:r>
    </w:p>
    <w:p w:rsidR="007160A0" w:rsidRPr="005A7B7B" w:rsidRDefault="007160A0" w:rsidP="007160A0">
      <w:pPr>
        <w:pStyle w:val="SRTextnomal"/>
      </w:pPr>
      <w:r w:rsidRPr="005A7B7B">
        <w:t xml:space="preserve">Největší část tvoří </w:t>
      </w:r>
      <w:r w:rsidR="00EF2353" w:rsidRPr="005A7B7B">
        <w:t>rozpočtované prostředky v rámci</w:t>
      </w:r>
      <w:r w:rsidRPr="005A7B7B">
        <w:t xml:space="preserve"> Operačního programu Životní prostředí 2021+ </w:t>
      </w:r>
      <w:r w:rsidR="00EF2353" w:rsidRPr="005A7B7B">
        <w:t>(8,1 </w:t>
      </w:r>
      <w:r w:rsidRPr="005A7B7B">
        <w:t>mld.</w:t>
      </w:r>
      <w:r w:rsidR="00EF2353" w:rsidRPr="005A7B7B">
        <w:t> </w:t>
      </w:r>
      <w:r w:rsidRPr="005A7B7B">
        <w:t>Kč), Národního plánu obnovy (4 mld. Kč) a Operačního programu Spravedlivá transformace (1,1</w:t>
      </w:r>
      <w:r w:rsidR="00EF2353" w:rsidRPr="005A7B7B">
        <w:t> </w:t>
      </w:r>
      <w:r w:rsidRPr="005A7B7B">
        <w:t>mld. Kč).</w:t>
      </w:r>
    </w:p>
    <w:p w:rsidR="007160A0" w:rsidRPr="005A7B7B" w:rsidRDefault="007160A0" w:rsidP="007160A0">
      <w:pPr>
        <w:pStyle w:val="SRTextnomal"/>
      </w:pPr>
      <w:r w:rsidRPr="005A7B7B">
        <w:t xml:space="preserve">Součástí rozpočtu jsou i výdaje na institucionální podporu výzkumu, vývoje a inovací ve výši 277,2 mil. Kč. </w:t>
      </w:r>
    </w:p>
    <w:p w:rsidR="00884618" w:rsidRPr="005A7B7B" w:rsidRDefault="007160A0" w:rsidP="007160A0">
      <w:pPr>
        <w:pStyle w:val="SRTextnomal"/>
      </w:pPr>
      <w:r w:rsidRPr="005A7B7B">
        <w:t>Celkové plánované výdaje kapitoly zahrnují i prostředky určené pro Státní fond životního prostředí ČR, a to ve výši 6,2 mld. Kč. Největší část tvoří transfery na financování projektů vodohospodářské infrastruktury dle usnesení vlády č. 156/2024 (3 mld. Kč) a v rámci Národního plánu obnovy (3 mld. Kč).</w:t>
      </w:r>
    </w:p>
    <w:p w:rsidR="00341D7F" w:rsidRPr="005A7B7B" w:rsidRDefault="00341D7F" w:rsidP="00671AAF">
      <w:pPr>
        <w:pStyle w:val="SRNadpis3"/>
        <w:sectPr w:rsidR="00341D7F" w:rsidRPr="005A7B7B" w:rsidSect="00187B06">
          <w:type w:val="continuous"/>
          <w:pgSz w:w="11906" w:h="16838" w:code="9"/>
          <w:pgMar w:top="1134" w:right="1134" w:bottom="1134" w:left="1134" w:header="709" w:footer="709" w:gutter="0"/>
          <w:cols w:num="2" w:space="397"/>
          <w:docGrid w:linePitch="360"/>
        </w:sectPr>
      </w:pPr>
    </w:p>
    <w:p w:rsidR="00341D7F" w:rsidRPr="005A7B7B" w:rsidRDefault="00FE1B9E" w:rsidP="004912D7">
      <w:pPr>
        <w:pStyle w:val="SRNadpis2"/>
      </w:pPr>
      <w:bookmarkStart w:id="184" w:name="_Toc175913909"/>
      <w:r w:rsidRPr="005A7B7B">
        <w:t xml:space="preserve">Komentář k rozpočtu kapitoly </w:t>
      </w:r>
      <w:r w:rsidR="00341D7F" w:rsidRPr="005A7B7B">
        <w:t>Ministerstv</w:t>
      </w:r>
      <w:r w:rsidRPr="005A7B7B">
        <w:t>o</w:t>
      </w:r>
      <w:r w:rsidR="00341D7F" w:rsidRPr="005A7B7B">
        <w:t xml:space="preserve"> </w:t>
      </w:r>
      <w:r w:rsidR="00900348" w:rsidRPr="005A7B7B">
        <w:t>pro místní rozvoj</w:t>
      </w:r>
      <w:bookmarkEnd w:id="184"/>
    </w:p>
    <w:p w:rsidR="00341D7F" w:rsidRPr="005A7B7B" w:rsidRDefault="00341D7F" w:rsidP="00341D7F">
      <w:pPr>
        <w:spacing w:after="0" w:line="360" w:lineRule="auto"/>
        <w:rPr>
          <w:rFonts w:cs="Calibri"/>
        </w:rPr>
        <w:sectPr w:rsidR="00341D7F" w:rsidRPr="005A7B7B" w:rsidSect="00187B06">
          <w:type w:val="continuous"/>
          <w:pgSz w:w="11906" w:h="16838" w:code="9"/>
          <w:pgMar w:top="1134" w:right="1134" w:bottom="1134" w:left="1134" w:header="709" w:footer="709" w:gutter="0"/>
          <w:cols w:space="397"/>
          <w:docGrid w:linePitch="360"/>
        </w:sectPr>
      </w:pPr>
    </w:p>
    <w:p w:rsidR="007160A0" w:rsidRPr="005A7B7B" w:rsidRDefault="007160A0" w:rsidP="007160A0">
      <w:pPr>
        <w:pStyle w:val="SRTextnomal"/>
      </w:pPr>
      <w:r w:rsidRPr="005A7B7B">
        <w:t>Celkové výdaje kapitoly Ministerstvo pro místní rozvoj jsou rozpočtovány pro rok 2025 ve výši 13,3 mld. Kč, což představuje pokles o 13 % oproti rozpočtu roku 2024. Rozpočtované výdaje jsou včetně výdajů spolufinancovaných z rozpočtu EU a FM ve výši 8,5 mld. Kč, kdy podíl krytý příjmem z EU představuje 7,3 mld. Kč a podíl státního rozpočtu 1,2 mld. Kč.</w:t>
      </w:r>
    </w:p>
    <w:p w:rsidR="007160A0" w:rsidRPr="005A7B7B" w:rsidRDefault="007160A0" w:rsidP="007160A0">
      <w:pPr>
        <w:pStyle w:val="SRTextnomal"/>
      </w:pPr>
      <w:r w:rsidRPr="005A7B7B">
        <w:t xml:space="preserve">Největší objem výdajů ve výši 10,6 mld. Kč směřuje na Podporu regionálního rozvoje a cestovního ruchu, kde jsou financovány dotační programy jak ze státního rozpočtu, tak z rozpočtu EU, z nichž největšími jsou Integrovaný regionální operační program (IROP) a </w:t>
      </w:r>
      <w:r w:rsidRPr="005A7B7B">
        <w:t>Operační program technická pomoc (OPTP). Národní programy jsou podpořeny v objemu 2,7 mld. Kč, dotace směřují zejména do regionálního rozvoje s cílem podpořit rozvoj malých venkovských obcí. Do oblasti podpory regionálního rozvoje je zahrnut také příspěvek na provoz státních příspěvkových organizací – Centrum pro regionální rozvoj České republiky (110 mil. Kč) a Česká centrála cestovního ruchu – CzechTourism (400 mil. Kč) a také provozní a investičn</w:t>
      </w:r>
      <w:r w:rsidR="00783FC5" w:rsidRPr="005A7B7B">
        <w:t>í dotace pro Horskou službu ČR, </w:t>
      </w:r>
      <w:r w:rsidRPr="005A7B7B">
        <w:t>o.</w:t>
      </w:r>
      <w:r w:rsidR="00783FC5" w:rsidRPr="005A7B7B">
        <w:t> </w:t>
      </w:r>
      <w:r w:rsidRPr="005A7B7B">
        <w:t>p.</w:t>
      </w:r>
      <w:r w:rsidR="00783FC5" w:rsidRPr="005A7B7B">
        <w:t> </w:t>
      </w:r>
      <w:r w:rsidRPr="005A7B7B">
        <w:t>s. (310 mil. Kč).</w:t>
      </w:r>
    </w:p>
    <w:p w:rsidR="003773FF" w:rsidRPr="005A7B7B" w:rsidRDefault="007160A0" w:rsidP="007160A0">
      <w:pPr>
        <w:pStyle w:val="SRTextnomal"/>
      </w:pPr>
      <w:r w:rsidRPr="005A7B7B">
        <w:t xml:space="preserve">Součástí výdajů Ministerstva pro místní rozvoj jsou i dotace pro Státní fond podpory investic, které hrají </w:t>
      </w:r>
      <w:r w:rsidRPr="005A7B7B">
        <w:lastRenderedPageBreak/>
        <w:t xml:space="preserve">klíčovou roli v podpoře dostupného bydlení. </w:t>
      </w:r>
      <w:r w:rsidR="00783FC5" w:rsidRPr="005A7B7B">
        <w:t xml:space="preserve">Státní fond podpory investic </w:t>
      </w:r>
      <w:r w:rsidRPr="005A7B7B">
        <w:t>poskytuje finanční prostředky a dotační programy zaměřené na rozvoj bytové politiky, zejména na výstavbu a rekonstrukci bytů, které mají za cíl zlepšit dostupnost bydlení pro širokou veřejnost. Tyto výdaje jsou rozpočtován</w:t>
      </w:r>
      <w:r w:rsidR="00783FC5" w:rsidRPr="005A7B7B">
        <w:t>y ve výši 1,04 mld. Kč. Součástí</w:t>
      </w:r>
      <w:r w:rsidRPr="005A7B7B">
        <w:t xml:space="preserve"> plánovaných výdajů jsou i výdaje na provoz a rozvoj </w:t>
      </w:r>
      <w:r w:rsidRPr="005A7B7B">
        <w:t>celostátních informačních systémů jako Národní elektronický nástroj (NEN), soubor centrálních služeb národní infrastruktury pro elektronické zadávání veřejných zakázek (SCS NIPEZ), Monitorovací systém 2014+ (MS 2014+), Monitorovací systém 2021+ (MS 2021+) a další investice do prvků nutných pro efektivní systém kybernetické bezpečnosti.</w:t>
      </w:r>
    </w:p>
    <w:p w:rsidR="00341D7F" w:rsidRPr="005A7B7B" w:rsidRDefault="00341D7F" w:rsidP="00671AAF">
      <w:pPr>
        <w:pStyle w:val="SRNadpis3"/>
        <w:numPr>
          <w:ilvl w:val="0"/>
          <w:numId w:val="0"/>
        </w:numPr>
        <w:ind w:left="709"/>
        <w:sectPr w:rsidR="00341D7F" w:rsidRPr="005A7B7B" w:rsidSect="00187B06">
          <w:type w:val="continuous"/>
          <w:pgSz w:w="11906" w:h="16838" w:code="9"/>
          <w:pgMar w:top="1134" w:right="1134" w:bottom="1134" w:left="1134" w:header="709" w:footer="709" w:gutter="0"/>
          <w:cols w:num="2" w:space="397"/>
          <w:docGrid w:linePitch="360"/>
        </w:sectPr>
      </w:pPr>
    </w:p>
    <w:p w:rsidR="00341D7F" w:rsidRPr="005A7B7B" w:rsidRDefault="00FE1B9E" w:rsidP="004912D7">
      <w:pPr>
        <w:pStyle w:val="SRNadpis2"/>
      </w:pPr>
      <w:bookmarkStart w:id="185" w:name="_Toc175913910"/>
      <w:r w:rsidRPr="005A7B7B">
        <w:t>Komentář k rozpočtu kapitoly Ministerstvo</w:t>
      </w:r>
      <w:r w:rsidR="00341D7F" w:rsidRPr="005A7B7B">
        <w:t xml:space="preserve"> průmyslu a obchodu</w:t>
      </w:r>
      <w:bookmarkEnd w:id="185"/>
    </w:p>
    <w:p w:rsidR="00E06AD4" w:rsidRPr="005A7B7B" w:rsidRDefault="00E06AD4" w:rsidP="00E06AD4">
      <w:pPr>
        <w:spacing w:after="0" w:line="360" w:lineRule="auto"/>
        <w:rPr>
          <w:rFonts w:cs="Calibri"/>
        </w:rPr>
        <w:sectPr w:rsidR="00E06AD4" w:rsidRPr="005A7B7B" w:rsidSect="00187B06">
          <w:type w:val="continuous"/>
          <w:pgSz w:w="11906" w:h="16838" w:code="9"/>
          <w:pgMar w:top="1134" w:right="1134" w:bottom="1134" w:left="1134" w:header="709" w:footer="709" w:gutter="0"/>
          <w:cols w:space="397"/>
          <w:docGrid w:linePitch="360"/>
        </w:sectPr>
      </w:pPr>
    </w:p>
    <w:p w:rsidR="007160A0" w:rsidRPr="005A7B7B" w:rsidRDefault="007160A0" w:rsidP="00E94B79">
      <w:pPr>
        <w:pStyle w:val="SRTextnomal"/>
      </w:pPr>
      <w:r w:rsidRPr="005A7B7B">
        <w:t xml:space="preserve">Celkové výdaje kapitoly Ministerstvo průmyslu a obchodu jsou pro rok 2025 navrhovány ve výši 35,8 mld. Kč, což představuje pokles o cca 10 % oproti rozpočtu roku 2024. Rozpočtované výdaje jsou včetně výdajů spolufinancovaných z rozpočtu EU a FM ve výši 17,8 mld. Kč, kdy podíl krytý příjmem z EU představuje 17,6 mld. Kč. Částkou 18,9 mld. Kč bude podpořena oblast podnikání. V této částce jsou zahrnuty výdaje na opatření ke zvýšení konkurenceschopnosti průmyslových odvětví a výdaje na výzkum a vývoj 3,9 mld. Kč a prostředky z operačního programu Technologie a aplikace pro konkurenceschopnost ve výši 6,3 mld. Kč. </w:t>
      </w:r>
      <w:r w:rsidR="00B3275B" w:rsidRPr="005A7B7B">
        <w:t>Počítáno je zde i s částkou 8,7 </w:t>
      </w:r>
      <w:r w:rsidRPr="005A7B7B">
        <w:t>mld. Kč, která bude vynaložena v rámci příslušných komponent Národního plánu obnovy.</w:t>
      </w:r>
    </w:p>
    <w:p w:rsidR="007160A0" w:rsidRDefault="00B3275B" w:rsidP="00E94B79">
      <w:pPr>
        <w:pStyle w:val="SRTextnomal"/>
      </w:pPr>
      <w:r w:rsidRPr="005A7B7B">
        <w:t>Další část výdajů této kapitoly</w:t>
      </w:r>
      <w:r w:rsidR="007160A0" w:rsidRPr="005A7B7B">
        <w:t xml:space="preserve"> představují dotace na podporované zdroje energie. V kapitole Ministerstvo </w:t>
      </w:r>
      <w:r w:rsidR="007160A0" w:rsidRPr="005A7B7B">
        <w:t xml:space="preserve">průmyslu a obchodu je pro rok 2025 navržena dotace na danou podporu ve výši 8,5 mld. Kč. </w:t>
      </w:r>
    </w:p>
    <w:p w:rsidR="007160A0" w:rsidRPr="005A7B7B" w:rsidRDefault="007160A0" w:rsidP="00E94B79">
      <w:pPr>
        <w:pStyle w:val="SRTextnomal"/>
      </w:pPr>
      <w:r w:rsidRPr="005A7B7B">
        <w:t>Na zahlazování následků hornické činnosti jsou plá</w:t>
      </w:r>
      <w:r w:rsidR="00B3275B" w:rsidRPr="005A7B7B">
        <w:t>novány výdaje v celkové výši</w:t>
      </w:r>
      <w:r w:rsidRPr="005A7B7B">
        <w:t xml:space="preserve"> 4,8 mld. Kč, z toho výdaje kryté převodem z privatizačního účtu dosahují 1,4 mld. Kč. Jedná se o prostředky nezbytné na zajištění základních činností státního podniku DIAMO, který zabezpečuje proces zahlazování následků hornické činnosti a odstraňování ekologických škod mj. ve Stráži pod Ralskem a v roce 2025 také ve skladu v obci Vikantice v ná</w:t>
      </w:r>
      <w:r w:rsidR="000835E8" w:rsidRPr="005A7B7B">
        <w:t>vaznosti na usnesení vlády č. 3</w:t>
      </w:r>
      <w:r w:rsidRPr="005A7B7B">
        <w:t>5</w:t>
      </w:r>
      <w:r w:rsidR="000835E8" w:rsidRPr="005A7B7B">
        <w:t>2</w:t>
      </w:r>
      <w:r w:rsidRPr="005A7B7B">
        <w:t>/2024.</w:t>
      </w:r>
    </w:p>
    <w:p w:rsidR="00E06AD4" w:rsidRDefault="007160A0" w:rsidP="00E94B79">
      <w:pPr>
        <w:pStyle w:val="SRTextnomal"/>
      </w:pPr>
      <w:r w:rsidRPr="005A7B7B">
        <w:t>Na financování organizační složky státu Správa úložišť radioaktivních odpadů, která zajišťuje bezpečné ukládání radioaktivních odpadů v souladu s atomovým zákonem, je navrhováno poskytnout částku celkem 0,9 mld. Kč.</w:t>
      </w:r>
    </w:p>
    <w:p w:rsidR="001A381E" w:rsidRPr="005A7B7B" w:rsidRDefault="001A381E" w:rsidP="00E94B79">
      <w:pPr>
        <w:pStyle w:val="SRTextnomal"/>
      </w:pPr>
    </w:p>
    <w:p w:rsidR="00585650" w:rsidRPr="005A7B7B" w:rsidRDefault="00585650" w:rsidP="00671AAF">
      <w:pPr>
        <w:pStyle w:val="SRNadpis3"/>
        <w:numPr>
          <w:ilvl w:val="0"/>
          <w:numId w:val="0"/>
        </w:numPr>
        <w:sectPr w:rsidR="00585650" w:rsidRPr="005A7B7B" w:rsidSect="00187B06">
          <w:type w:val="continuous"/>
          <w:pgSz w:w="11906" w:h="16838" w:code="9"/>
          <w:pgMar w:top="1134" w:right="1134" w:bottom="1134" w:left="1134" w:header="709" w:footer="709" w:gutter="0"/>
          <w:cols w:num="2" w:space="397"/>
          <w:docGrid w:linePitch="360"/>
        </w:sectPr>
      </w:pPr>
    </w:p>
    <w:p w:rsidR="00341D7F" w:rsidRPr="005A7B7B" w:rsidRDefault="00FE1B9E" w:rsidP="004912D7">
      <w:pPr>
        <w:pStyle w:val="SRNadpis2"/>
      </w:pPr>
      <w:bookmarkStart w:id="186" w:name="_Toc175913911"/>
      <w:r w:rsidRPr="005A7B7B">
        <w:t>Komentář k rozpočtu kapitoly</w:t>
      </w:r>
      <w:r w:rsidR="00E06AD4" w:rsidRPr="005A7B7B">
        <w:t xml:space="preserve"> Mini</w:t>
      </w:r>
      <w:r w:rsidR="006A1D3F" w:rsidRPr="005A7B7B">
        <w:t>sterstvo</w:t>
      </w:r>
      <w:r w:rsidR="00E06AD4" w:rsidRPr="005A7B7B">
        <w:t xml:space="preserve"> dopravy</w:t>
      </w:r>
      <w:bookmarkEnd w:id="186"/>
    </w:p>
    <w:p w:rsidR="00E06AD4" w:rsidRPr="005A7B7B" w:rsidRDefault="00E06AD4" w:rsidP="00E06AD4">
      <w:pPr>
        <w:spacing w:after="0" w:line="360" w:lineRule="auto"/>
        <w:rPr>
          <w:rFonts w:cs="Calibri"/>
        </w:rPr>
        <w:sectPr w:rsidR="00E06AD4" w:rsidRPr="005A7B7B" w:rsidSect="00187B06">
          <w:type w:val="continuous"/>
          <w:pgSz w:w="11906" w:h="16838" w:code="9"/>
          <w:pgMar w:top="1134" w:right="1134" w:bottom="1134" w:left="1134" w:header="709" w:footer="709" w:gutter="0"/>
          <w:cols w:space="397"/>
          <w:docGrid w:linePitch="360"/>
        </w:sectPr>
      </w:pPr>
    </w:p>
    <w:p w:rsidR="00E94B79" w:rsidRDefault="007A6F70" w:rsidP="007A6F70">
      <w:r w:rsidRPr="005A7B7B">
        <w:t>Celkové výdaje kapitoly Ministerstvo dopravy jsou navrženy pro rok 2025 ve výši 139,4 mld. Kč (včetně výdajů spolufinancovaných z rozpočtu EU a FM ve výši 37,5 mld. Kč), což představuje nárůst o cca 34 % oproti rozpočtu roku 2024. Kapitálové výdaje kapitoly, z nichž majoritní podíl tvoří investiční transfery pro Státní fond dopravní infrastruktury, vzros</w:t>
      </w:r>
      <w:r w:rsidR="00755DA7">
        <w:t>tly oproti rozpočtu roku 2024 o </w:t>
      </w:r>
      <w:r w:rsidRPr="005A7B7B">
        <w:t>49,2 mld. Kč, tj. o 116 %.</w:t>
      </w:r>
      <w:r w:rsidR="00E94B79">
        <w:t xml:space="preserve"> Část nárůstu je způsobena návratem k obvyklému </w:t>
      </w:r>
      <w:r w:rsidR="006C3752">
        <w:t>poměru investičních a neinvestičních transferů</w:t>
      </w:r>
      <w:r w:rsidR="00E94B79">
        <w:t xml:space="preserve"> do SFDI.</w:t>
      </w:r>
    </w:p>
    <w:p w:rsidR="007A6F70" w:rsidRPr="005A7B7B" w:rsidRDefault="007A6F70" w:rsidP="007A6F70">
      <w:r w:rsidRPr="005A7B7B">
        <w:t>Z výdajů na drážní a ko</w:t>
      </w:r>
      <w:r w:rsidR="002C320C">
        <w:t>mbinovanou dopravu je 12,9 mld. </w:t>
      </w:r>
      <w:r w:rsidRPr="005A7B7B">
        <w:t xml:space="preserve">Kč rozpočtováno na úhradu ztráty ze závazku veřejné služby ve veřejné drážní osobní dopravě, z toho </w:t>
      </w:r>
      <w:r w:rsidRPr="005A7B7B">
        <w:t>8,4 mld. Kč činí výdaje na dopravní obslužnost v objednávce státu a částka 4,5 mld. Kč představuje dotaci krajům a hl. m. Praha na financování regionální dopravy.</w:t>
      </w:r>
    </w:p>
    <w:p w:rsidR="007A6F70" w:rsidRPr="005A7B7B" w:rsidRDefault="007A6F70" w:rsidP="007A6F70">
      <w:r w:rsidRPr="005A7B7B">
        <w:t>V rámci ostatních výdajů spojených s dopravní politikou státu, které jsou rozpočtovány v celkovém objemu 9,1 mld. Kč, jsou alokovány např. dotace na slevy jízdného (5,6 mld. Kč) či výdaje na kosmické aktivity (výdaje na Evropskou kosmickou agenturu).</w:t>
      </w:r>
    </w:p>
    <w:p w:rsidR="00755DA7" w:rsidRDefault="007A6F70" w:rsidP="007A6F70">
      <w:r w:rsidRPr="005A7B7B">
        <w:t>Největší část prostředků kapitoly Ministerstva dopravy představují dotace pro Státní fond dopravní infrastruktury, a to v objemu 117,4 mld. Kč (z toho dotace pro společné programy EU a ČR představují objem 37,4 mld. Kč.).</w:t>
      </w:r>
    </w:p>
    <w:p w:rsidR="000E0DA0" w:rsidRPr="005A7B7B" w:rsidRDefault="000E0DA0" w:rsidP="007A6F70"/>
    <w:p w:rsidR="00E06AD4" w:rsidRPr="005A7B7B" w:rsidRDefault="00E06AD4" w:rsidP="00671AAF">
      <w:pPr>
        <w:pStyle w:val="SRNadpis3"/>
        <w:numPr>
          <w:ilvl w:val="0"/>
          <w:numId w:val="0"/>
        </w:numPr>
        <w:ind w:left="709"/>
        <w:sectPr w:rsidR="00E06AD4" w:rsidRPr="005A7B7B" w:rsidSect="00187B06">
          <w:type w:val="continuous"/>
          <w:pgSz w:w="11906" w:h="16838" w:code="9"/>
          <w:pgMar w:top="1134" w:right="1134" w:bottom="1134" w:left="1134" w:header="709" w:footer="709" w:gutter="0"/>
          <w:cols w:num="2" w:space="397"/>
          <w:docGrid w:linePitch="360"/>
        </w:sectPr>
      </w:pPr>
    </w:p>
    <w:p w:rsidR="00BE47A1" w:rsidRPr="005A7B7B" w:rsidRDefault="00FE1B9E" w:rsidP="004912D7">
      <w:pPr>
        <w:pStyle w:val="SRNadpis2"/>
      </w:pPr>
      <w:bookmarkStart w:id="187" w:name="_Toc175913912"/>
      <w:r w:rsidRPr="005A7B7B">
        <w:t>Komentář k rozpočtu kapitoly</w:t>
      </w:r>
      <w:r w:rsidR="006A1D3F" w:rsidRPr="005A7B7B">
        <w:t xml:space="preserve"> Ministerstvo</w:t>
      </w:r>
      <w:r w:rsidR="00E06AD4" w:rsidRPr="005A7B7B">
        <w:t xml:space="preserve"> zemědělství</w:t>
      </w:r>
      <w:bookmarkEnd w:id="187"/>
    </w:p>
    <w:p w:rsidR="00E06AD4" w:rsidRPr="005A7B7B" w:rsidRDefault="00E06AD4" w:rsidP="00E06AD4">
      <w:pPr>
        <w:spacing w:after="0" w:line="360" w:lineRule="auto"/>
        <w:rPr>
          <w:rFonts w:cs="Calibri"/>
        </w:rPr>
        <w:sectPr w:rsidR="00E06AD4" w:rsidRPr="005A7B7B" w:rsidSect="00187B06">
          <w:type w:val="continuous"/>
          <w:pgSz w:w="11906" w:h="16838" w:code="9"/>
          <w:pgMar w:top="1134" w:right="1134" w:bottom="1134" w:left="1134" w:header="709" w:footer="709" w:gutter="0"/>
          <w:cols w:space="397"/>
          <w:docGrid w:linePitch="360"/>
        </w:sectPr>
      </w:pPr>
    </w:p>
    <w:p w:rsidR="007160A0" w:rsidRPr="005A7B7B" w:rsidRDefault="007160A0" w:rsidP="007160A0">
      <w:pPr>
        <w:pStyle w:val="SRTextnomal"/>
      </w:pPr>
      <w:r w:rsidRPr="005A7B7B">
        <w:t>Celkové výdaje kapitoly Ministerstvo zemědělství jsou pro rok 2025 navrženy ve výši 58,8 mld. Kč (v tom kapitálové výdaje 10,7 mld. Kč a běžné výdaje 48,1 mld. Kč), oproti schváleném</w:t>
      </w:r>
      <w:r w:rsidR="00071CAD">
        <w:t>u rozpočtu roku 2024 se jedná o </w:t>
      </w:r>
      <w:r w:rsidRPr="005A7B7B">
        <w:t>nárůst o 9,4 %.</w:t>
      </w:r>
    </w:p>
    <w:p w:rsidR="007160A0" w:rsidRPr="005A7B7B" w:rsidRDefault="007160A0" w:rsidP="007160A0">
      <w:pPr>
        <w:pStyle w:val="SRTextnomal"/>
      </w:pPr>
      <w:r w:rsidRPr="005A7B7B">
        <w:t>Z celkových výdajů činí dotace na národní dotační programy do zemědělství částku 2,2 mld. Kč. Výdaje kryté příjmem z rozpočtu EU jsou plánovány ve výši 29,5 mld. Kč a národní spolufinanco</w:t>
      </w:r>
      <w:r w:rsidR="00071CAD">
        <w:t>vání k prostředkům EU činí 11,4 </w:t>
      </w:r>
      <w:r w:rsidRPr="005A7B7B">
        <w:t>mld. Kč.</w:t>
      </w:r>
    </w:p>
    <w:p w:rsidR="007160A0" w:rsidRPr="005A7B7B" w:rsidRDefault="007160A0" w:rsidP="007160A0">
      <w:pPr>
        <w:pStyle w:val="SRTextnomal"/>
      </w:pPr>
      <w:r w:rsidRPr="005A7B7B">
        <w:t>Na Program rozvoje</w:t>
      </w:r>
      <w:r w:rsidR="0017449A" w:rsidRPr="005A7B7B">
        <w:t xml:space="preserve"> venkova a Strategický plán SZP </w:t>
      </w:r>
      <w:r w:rsidRPr="005A7B7B">
        <w:t>Rozvoj venkova je určena částka 18,4 mld. Kč, z toho prostředky EU činí 7,9 mld. Kč a související národní spolufinancování 10,5 mld. Kč.</w:t>
      </w:r>
    </w:p>
    <w:p w:rsidR="007160A0" w:rsidRPr="005A7B7B" w:rsidRDefault="007160A0" w:rsidP="007160A0">
      <w:pPr>
        <w:pStyle w:val="SRTextnomal"/>
      </w:pPr>
      <w:r w:rsidRPr="005A7B7B">
        <w:t xml:space="preserve">Celkové prostředky z Národního plánu obnovy (NPO) v rámci komponenty 4.1. Systémová podpora veřejných investic jsou navrhovány pro rok 2025 ve výši 10,8 mil. Kč. </w:t>
      </w:r>
    </w:p>
    <w:p w:rsidR="007160A0" w:rsidRPr="005A7B7B" w:rsidRDefault="007160A0" w:rsidP="007160A0">
      <w:pPr>
        <w:pStyle w:val="SRTextnomal"/>
      </w:pPr>
      <w:r w:rsidRPr="005A7B7B">
        <w:t xml:space="preserve">Výdaje na výzkum, vývoj a inovace celkem jsou navrhovány ve výši 1,2 mld. Kč. </w:t>
      </w:r>
    </w:p>
    <w:p w:rsidR="00BA499C" w:rsidRPr="005A7B7B" w:rsidRDefault="007160A0" w:rsidP="007160A0">
      <w:pPr>
        <w:pStyle w:val="SRTextnomal"/>
      </w:pPr>
      <w:r w:rsidRPr="005A7B7B">
        <w:lastRenderedPageBreak/>
        <w:t xml:space="preserve">Z celkových výdajů kapitoly Ministerstvo zemědělství činí dotace Státnímu zemědělskému intervenčnímu fondu částku 44,5 mld. Kč (bez zahrnutí technické pomoci RV 2023+). Z této částky dotace na financování společné zemědělské politiky představují částku 40 mld. Kč, </w:t>
      </w:r>
      <w:r w:rsidRPr="005A7B7B">
        <w:t xml:space="preserve">prostředky na národní dotační programy do zemědělství poskytované </w:t>
      </w:r>
      <w:r w:rsidR="00071CAD">
        <w:t>podle zákona č. 252/1997 Sb., o </w:t>
      </w:r>
      <w:r w:rsidRPr="005A7B7B">
        <w:t>zemědělství, činí 2,2 mld. Kč a dotace na činnost SZIF vč. marketingu je rozpočtována ve výši 2,3 mld. Kč.</w:t>
      </w:r>
    </w:p>
    <w:p w:rsidR="00E06AD4" w:rsidRPr="005A7B7B" w:rsidRDefault="00E06AD4" w:rsidP="00671AAF">
      <w:pPr>
        <w:pStyle w:val="SRNadpis3"/>
        <w:numPr>
          <w:ilvl w:val="0"/>
          <w:numId w:val="0"/>
        </w:numPr>
        <w:sectPr w:rsidR="00E06AD4" w:rsidRPr="005A7B7B" w:rsidSect="00187B06">
          <w:type w:val="continuous"/>
          <w:pgSz w:w="11906" w:h="16838" w:code="9"/>
          <w:pgMar w:top="1134" w:right="1134" w:bottom="1134" w:left="1134" w:header="709" w:footer="709" w:gutter="0"/>
          <w:cols w:num="2" w:space="397"/>
          <w:docGrid w:linePitch="360"/>
        </w:sectPr>
      </w:pPr>
    </w:p>
    <w:p w:rsidR="006242ED" w:rsidRPr="005A7B7B" w:rsidRDefault="00FE1B9E" w:rsidP="004912D7">
      <w:pPr>
        <w:pStyle w:val="SRNadpis2"/>
      </w:pPr>
      <w:bookmarkStart w:id="188" w:name="_Toc175913913"/>
      <w:bookmarkEnd w:id="179"/>
      <w:bookmarkEnd w:id="180"/>
      <w:r w:rsidRPr="005A7B7B">
        <w:t>Komentář k rozpočtu kapitoly</w:t>
      </w:r>
      <w:r w:rsidR="006242ED" w:rsidRPr="005A7B7B">
        <w:t xml:space="preserve"> Ministerstvo školství, mládeže a tělovýchovy</w:t>
      </w:r>
      <w:bookmarkEnd w:id="188"/>
    </w:p>
    <w:p w:rsidR="006242ED" w:rsidRPr="005A7B7B" w:rsidRDefault="006242ED" w:rsidP="00671AAF">
      <w:pPr>
        <w:pStyle w:val="SRNadpis3"/>
        <w:numPr>
          <w:ilvl w:val="0"/>
          <w:numId w:val="0"/>
        </w:numPr>
        <w:ind w:left="709"/>
        <w:sectPr w:rsidR="006242ED" w:rsidRPr="005A7B7B" w:rsidSect="00187B06">
          <w:type w:val="continuous"/>
          <w:pgSz w:w="11906" w:h="16838" w:code="9"/>
          <w:pgMar w:top="1134" w:right="1134" w:bottom="1134" w:left="1134" w:header="709" w:footer="709" w:gutter="0"/>
          <w:cols w:space="397"/>
          <w:docGrid w:linePitch="360"/>
        </w:sectPr>
      </w:pPr>
    </w:p>
    <w:p w:rsidR="00A73B1F" w:rsidRPr="005A7B7B" w:rsidRDefault="00A73B1F" w:rsidP="00071CAD">
      <w:pPr>
        <w:pStyle w:val="SRTextnomal"/>
      </w:pPr>
      <w:r w:rsidRPr="005A7B7B">
        <w:t xml:space="preserve">Navržené celkové příjmy kapitoly Ministerstvo školství, mládeže a tělovýchovy jsou pro rok 2025 ve výši 15,7 mld. Kč, z toho příjmy z rozpočtu EU a prostředků finančních mechanismů činí 15,5 mld. Kč. </w:t>
      </w:r>
      <w:r w:rsidRPr="00071CAD">
        <w:t>Proti</w:t>
      </w:r>
      <w:r w:rsidRPr="005A7B7B">
        <w:t xml:space="preserve"> roku 2024 jsou celkové příjmy kapitoly na rok 2025 vyšší o 2,5 mld. Kč, tj. o 19,44 %. </w:t>
      </w:r>
    </w:p>
    <w:p w:rsidR="00A73B1F" w:rsidRPr="005A7B7B" w:rsidRDefault="00A73B1F" w:rsidP="00071CAD">
      <w:pPr>
        <w:pStyle w:val="SRTextnomal"/>
      </w:pPr>
      <w:r w:rsidRPr="005A7B7B">
        <w:t xml:space="preserve">Celkové výdaje kapitoly Ministerstvo školství, mládeže a tělovýchovy jsou pro rok 2025 navrženy ve výši 287,1 mld. Kč, bez započtení výdajů krytých příjmy z rozpočtu EU a prostředků finančních mechanismů pak činí 271,6 mld. Kč. Proti roku 2024 jsou celkové výdaje kapitoly na rok 2025 navýšeny o 18,1 mld. Kč, tj. o 6,73 % (bez započtení výdajů krytých příjmy z rozpočtu EU a prostředků finančních mechanismů o 15,6 mld. Kč). Proti schválenému SDV 2025 jsou celkové výdaje kapitoly bez započtení výdajů krytých příjmy z rozpočtu EU a prostředků finančních mechanismů navýšeny o 13,5 mld. Kč, tj. o 5,23 %. </w:t>
      </w:r>
    </w:p>
    <w:p w:rsidR="00A73B1F" w:rsidRPr="005A7B7B" w:rsidRDefault="00A73B1F" w:rsidP="00071CAD">
      <w:pPr>
        <w:pStyle w:val="SRTextnomal"/>
      </w:pPr>
      <w:r w:rsidRPr="005A7B7B">
        <w:t xml:space="preserve">Největší objem výdajů kapitoly ve výši 214 mld. Kč připadá na výdaje regionálního školství a přímo řízených organizací, jehož rozpočet je oproti schválenému rozpočtu na rok 2024 vyšší o téměř 10 mld. Kč. Z rozpočtu Ministerstva školství, mládeže a tělovýchovy se poskytují prostředky zejména na tzv. přímé výdaje na vzdělávání pro školy a školská zařízení zřizované obcemi a kraji (na </w:t>
      </w:r>
      <w:r w:rsidRPr="005A7B7B">
        <w:t>rok 2025 je navrhováno 193,8 mld. Kč), dotace pro soukromé a církevní školství (15,7 mld. Kč) a neinvestiční příspěvek a dotace na programové financování pro školy a školská zařízení zřizované MŠMT (v celkové výši 3,8 mld. Kč). Na zabezpečení růstu platů učitelů je rozpočet regionálního školství navýšen o 9 mld. Kč</w:t>
      </w:r>
      <w:r w:rsidR="00762B94">
        <w:t xml:space="preserve"> (vč. příslušenství)</w:t>
      </w:r>
      <w:r w:rsidRPr="005A7B7B">
        <w:t xml:space="preserve">, čímž jsou zohledněny závazky k výši platů učitelů dané školským zákonem. Pedagogická práce ve školách v souvislosti s využitím větší míry dělení hodin a nárůstem počtu dětí, žáků a studentů je posílena o 993 mil. Kč, včetně počtu učitelů o 1 095. </w:t>
      </w:r>
    </w:p>
    <w:p w:rsidR="00A73B1F" w:rsidRPr="005A7B7B" w:rsidRDefault="00A73B1F" w:rsidP="00071CAD">
      <w:pPr>
        <w:pStyle w:val="SRTextnomal"/>
      </w:pPr>
      <w:r w:rsidRPr="005A7B7B">
        <w:t xml:space="preserve">Výdaje v ukazateli Vysoké školy jsou pro rok 2025 navrženy ve výši 34 mld. Kč. Rozpočet pro vysoké školy zahrnuje především příspěvek na vzdělávací a další tvůrčí činnost, který byl oproti roku 2024 navýšen o 3 mld. Kč, a dále dotace na sociální a ubytovací stipendia, rozvoj vysoké školy či investiční projekty. </w:t>
      </w:r>
    </w:p>
    <w:p w:rsidR="00A73B1F" w:rsidRPr="005A7B7B" w:rsidRDefault="00A73B1F" w:rsidP="00071CAD">
      <w:pPr>
        <w:pStyle w:val="SRTextnomal"/>
      </w:pPr>
      <w:r w:rsidRPr="005A7B7B">
        <w:t>Na podporu výzkumu, vývoje a inovací včetně programů spolufinancovaných z prostředků zahraničních programů je pro rok 2025 vyčleněna celková částka 22,9 mld. Kč, z toho ze státního rozpočtu 18,5 mld. Kč. Meziroční nárůst celkových výdajů činí 2,4 mld. Kč. Národní zdroje na institucionální podporu ve výzkumu jsou oproti schválenému rozpočtu na rok 2024 vyšší o 1,6 mld. Kč.</w:t>
      </w:r>
    </w:p>
    <w:p w:rsidR="006242ED" w:rsidRPr="005A7B7B" w:rsidRDefault="006242ED" w:rsidP="006242ED">
      <w:pPr>
        <w:pStyle w:val="SRTextnomal"/>
      </w:pPr>
    </w:p>
    <w:p w:rsidR="006242ED" w:rsidRPr="005A7B7B" w:rsidRDefault="006242ED" w:rsidP="00671AAF">
      <w:pPr>
        <w:pStyle w:val="SRNadpis3"/>
        <w:numPr>
          <w:ilvl w:val="0"/>
          <w:numId w:val="0"/>
        </w:numPr>
        <w:sectPr w:rsidR="006242ED" w:rsidRPr="005A7B7B" w:rsidSect="00187B06">
          <w:type w:val="continuous"/>
          <w:pgSz w:w="11906" w:h="16838" w:code="9"/>
          <w:pgMar w:top="1134" w:right="1134" w:bottom="1134" w:left="1134" w:header="709" w:footer="709" w:gutter="0"/>
          <w:cols w:num="2" w:space="397"/>
          <w:docGrid w:linePitch="360"/>
        </w:sectPr>
      </w:pPr>
    </w:p>
    <w:p w:rsidR="007453AB" w:rsidRPr="005A7B7B" w:rsidRDefault="007453AB" w:rsidP="004912D7">
      <w:pPr>
        <w:pStyle w:val="SRNadpis2"/>
      </w:pPr>
      <w:bookmarkStart w:id="189" w:name="_Toc175913914"/>
      <w:r w:rsidRPr="005A7B7B">
        <w:t>Státní dluh</w:t>
      </w:r>
      <w:bookmarkEnd w:id="181"/>
      <w:r w:rsidR="00D36512" w:rsidRPr="005A7B7B">
        <w:t xml:space="preserve"> a </w:t>
      </w:r>
      <w:r w:rsidR="00FE1B9E" w:rsidRPr="005A7B7B">
        <w:t xml:space="preserve">komentář k rozpočtu kapitoly </w:t>
      </w:r>
      <w:r w:rsidR="00D36512" w:rsidRPr="005A7B7B">
        <w:t>Státní dluh</w:t>
      </w:r>
      <w:bookmarkEnd w:id="189"/>
    </w:p>
    <w:p w:rsidR="00F30F46" w:rsidRPr="005A7B7B" w:rsidRDefault="00F30F46" w:rsidP="00F30F46">
      <w:pPr>
        <w:sectPr w:rsidR="00F30F46" w:rsidRPr="005A7B7B" w:rsidSect="00187B06">
          <w:type w:val="continuous"/>
          <w:pgSz w:w="11906" w:h="16838" w:code="9"/>
          <w:pgMar w:top="1134" w:right="1134" w:bottom="1134" w:left="1134" w:header="709" w:footer="709" w:gutter="0"/>
          <w:cols w:space="397"/>
          <w:docGrid w:linePitch="360"/>
        </w:sectPr>
      </w:pPr>
    </w:p>
    <w:p w:rsidR="00CF62CE" w:rsidRPr="005A7B7B" w:rsidRDefault="00AF1F33" w:rsidP="00071CAD">
      <w:pPr>
        <w:pStyle w:val="SRTextnomal"/>
      </w:pPr>
      <w:r w:rsidRPr="005A7B7B">
        <w:t>Růst státního dluhu České republiky v posledních několika letech vyplývá ze zvýšené emisní činnosti za účelem pokrytí celkové potřeby financování, která je pro rok 2024 plánována ve výši 476,5 mld. Kč, tj</w:t>
      </w:r>
      <w:r w:rsidR="001A381E">
        <w:t>. přibližně 6</w:t>
      </w:r>
      <w:r w:rsidRPr="005A7B7B">
        <w:t xml:space="preserve"> % HDP. </w:t>
      </w:r>
      <w:r w:rsidRPr="005A7B7B">
        <w:t>Realizovaná výše potřeby financování pak bude záviset především na skutečném hospodaření státního rozpočtu, které je tak určujícím faktorem meziročního navýšení korunové hodnoty státního dluhu České republiky.</w:t>
      </w:r>
    </w:p>
    <w:p w:rsidR="00F30F46" w:rsidRPr="005A7B7B" w:rsidRDefault="00F30F46" w:rsidP="000D440D">
      <w:pPr>
        <w:pStyle w:val="SRTitulek1"/>
        <w:sectPr w:rsidR="00F30F46" w:rsidRPr="005A7B7B" w:rsidSect="00187B06">
          <w:type w:val="continuous"/>
          <w:pgSz w:w="11906" w:h="16838" w:code="9"/>
          <w:pgMar w:top="1134" w:right="1134" w:bottom="1134" w:left="1134" w:header="709" w:footer="709" w:gutter="0"/>
          <w:cols w:num="2" w:space="397"/>
          <w:docGrid w:linePitch="360"/>
        </w:sectPr>
      </w:pPr>
    </w:p>
    <w:p w:rsidR="00D879E5" w:rsidRPr="005A7B7B" w:rsidRDefault="00D879E5" w:rsidP="00D879E5">
      <w:pPr>
        <w:pStyle w:val="SRTitulek1"/>
      </w:pPr>
      <w:bookmarkStart w:id="190" w:name="_Toc80264023"/>
      <w:bookmarkStart w:id="191" w:name="_Toc175913949"/>
      <w:r w:rsidRPr="005A7B7B">
        <w:t xml:space="preserve">Tabulka </w:t>
      </w:r>
      <w:fldSimple w:instr=" SEQ Tabulka \* ARABIC ">
        <w:r w:rsidR="0010122A">
          <w:rPr>
            <w:noProof/>
          </w:rPr>
          <w:t>27</w:t>
        </w:r>
      </w:fldSimple>
      <w:r w:rsidRPr="005A7B7B">
        <w:t xml:space="preserve"> Vývoj státního dluhu a jeho podílu na HDP</w:t>
      </w:r>
      <w:bookmarkEnd w:id="191"/>
      <w:r w:rsidRPr="005A7B7B">
        <w:t xml:space="preserve"> </w:t>
      </w:r>
    </w:p>
    <w:p w:rsidR="00D879E5" w:rsidRPr="00071CAD" w:rsidRDefault="00375E48" w:rsidP="00071CAD">
      <w:pPr>
        <w:pStyle w:val="SRTextnomal"/>
      </w:pPr>
      <w:r w:rsidRPr="00071CAD">
        <w:rPr>
          <w:noProof/>
        </w:rPr>
        <w:drawing>
          <wp:inline distT="0" distB="0" distL="0" distR="0">
            <wp:extent cx="5848350" cy="1143000"/>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8350" cy="1143000"/>
                    </a:xfrm>
                    <a:prstGeom prst="rect">
                      <a:avLst/>
                    </a:prstGeom>
                    <a:noFill/>
                    <a:ln>
                      <a:noFill/>
                    </a:ln>
                  </pic:spPr>
                </pic:pic>
              </a:graphicData>
            </a:graphic>
          </wp:inline>
        </w:drawing>
      </w:r>
    </w:p>
    <w:p w:rsidR="00D879E5" w:rsidRPr="00071CAD" w:rsidRDefault="00D879E5" w:rsidP="00071CAD">
      <w:pPr>
        <w:pStyle w:val="SRTextnomal"/>
        <w:sectPr w:rsidR="00D879E5" w:rsidRPr="00071CAD" w:rsidSect="00187B06">
          <w:type w:val="continuous"/>
          <w:pgSz w:w="11906" w:h="16838" w:code="9"/>
          <w:pgMar w:top="1134" w:right="1134" w:bottom="1134" w:left="1134" w:header="709" w:footer="709" w:gutter="0"/>
          <w:cols w:space="397"/>
          <w:docGrid w:linePitch="360"/>
        </w:sectPr>
      </w:pPr>
    </w:p>
    <w:p w:rsidR="00D879E5" w:rsidRPr="005A7B7B" w:rsidRDefault="00D879E5" w:rsidP="00D879E5">
      <w:pPr>
        <w:pStyle w:val="Zdrojpodtabulkounebografem"/>
      </w:pPr>
      <w:r w:rsidRPr="005A7B7B">
        <w:t>Zdroj: MF, ČSÚ</w:t>
      </w:r>
    </w:p>
    <w:p w:rsidR="00D879E5" w:rsidRPr="005A7B7B" w:rsidRDefault="00D879E5" w:rsidP="00D879E5">
      <w:pPr>
        <w:sectPr w:rsidR="00D879E5" w:rsidRPr="005A7B7B" w:rsidSect="00187B06">
          <w:type w:val="continuous"/>
          <w:pgSz w:w="11906" w:h="16838" w:code="9"/>
          <w:pgMar w:top="1134" w:right="1134" w:bottom="1134" w:left="1134" w:header="709" w:footer="709" w:gutter="0"/>
          <w:cols w:space="397"/>
          <w:docGrid w:linePitch="360"/>
        </w:sectPr>
      </w:pPr>
    </w:p>
    <w:p w:rsidR="00D879E5" w:rsidRPr="005A7B7B" w:rsidRDefault="00D879E5" w:rsidP="00071CAD">
      <w:pPr>
        <w:pStyle w:val="SRTextnomal"/>
      </w:pPr>
      <w:r w:rsidRPr="005A7B7B">
        <w:t xml:space="preserve">V roce 2024 se očekává nárůst státního dluhu na úroveň 3 367,3 mld. Kč, v roce 2025 pak na 3 604,7 mld. Kč, přičemž jeho konečná výše bude záviset především na </w:t>
      </w:r>
      <w:r w:rsidRPr="005A7B7B">
        <w:t>skutečném výsledku hospodaření státního rozpočtu v roce 2024 a 2025, respektive na skutečné výši výpůjční potřeby státu v těchto letech.</w:t>
      </w:r>
    </w:p>
    <w:p w:rsidR="00D879E5" w:rsidRPr="005A7B7B" w:rsidRDefault="00D879E5" w:rsidP="00D879E5">
      <w:pPr>
        <w:sectPr w:rsidR="00D879E5" w:rsidRPr="005A7B7B" w:rsidSect="00187B06">
          <w:type w:val="continuous"/>
          <w:pgSz w:w="11906" w:h="16838" w:code="9"/>
          <w:pgMar w:top="1134" w:right="1134" w:bottom="1134" w:left="1134" w:header="709" w:footer="709" w:gutter="0"/>
          <w:cols w:num="2" w:space="397"/>
          <w:docGrid w:linePitch="360"/>
        </w:sectPr>
      </w:pPr>
    </w:p>
    <w:p w:rsidR="00BF3C34" w:rsidRPr="005A7B7B" w:rsidRDefault="00BF3C34" w:rsidP="00BF3C34">
      <w:pPr>
        <w:pStyle w:val="Titulek"/>
      </w:pPr>
      <w:bookmarkStart w:id="192" w:name="_Toc175913973"/>
      <w:r w:rsidRPr="005A7B7B">
        <w:lastRenderedPageBreak/>
        <w:t xml:space="preserve">Graf </w:t>
      </w:r>
      <w:fldSimple w:instr=" SEQ Graf \* ARABIC ">
        <w:r w:rsidR="0010122A">
          <w:rPr>
            <w:noProof/>
          </w:rPr>
          <w:t>19</w:t>
        </w:r>
      </w:fldSimple>
      <w:r w:rsidRPr="005A7B7B">
        <w:t xml:space="preserve"> </w:t>
      </w:r>
      <w:r w:rsidR="000E432A" w:rsidRPr="005A7B7B">
        <w:t>Vývoj státního dluhu a jeho podílu na HDP</w:t>
      </w:r>
      <w:bookmarkEnd w:id="192"/>
    </w:p>
    <w:p w:rsidR="00BF3C34" w:rsidRDefault="00375E48" w:rsidP="00071CAD">
      <w:pPr>
        <w:pStyle w:val="SRTextnomal"/>
        <w:rPr>
          <w:noProof/>
        </w:rPr>
      </w:pPr>
      <w:r w:rsidRPr="005A7B7B">
        <w:rPr>
          <w:noProof/>
        </w:rPr>
        <w:drawing>
          <wp:inline distT="0" distB="0" distL="0" distR="0">
            <wp:extent cx="5295900" cy="3362325"/>
            <wp:effectExtent l="0" t="0" r="0" b="0"/>
            <wp:docPr id="44" name="Graf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74E4D" w:rsidRDefault="00C74E4D" w:rsidP="00071CAD">
      <w:pPr>
        <w:pStyle w:val="SRTextnomal"/>
        <w:sectPr w:rsidR="00C74E4D" w:rsidSect="00187B06">
          <w:type w:val="continuous"/>
          <w:pgSz w:w="11906" w:h="16838" w:code="9"/>
          <w:pgMar w:top="1134" w:right="1134" w:bottom="1134" w:left="1134" w:header="709" w:footer="709" w:gutter="0"/>
          <w:cols w:space="397"/>
          <w:docGrid w:linePitch="360"/>
        </w:sectPr>
      </w:pPr>
    </w:p>
    <w:p w:rsidR="00C74E4D" w:rsidRPr="005A7B7B" w:rsidRDefault="00C74E4D" w:rsidP="00071CAD">
      <w:pPr>
        <w:pStyle w:val="SRTextnomal"/>
      </w:pPr>
    </w:p>
    <w:p w:rsidR="00BF3C34" w:rsidRPr="005A7B7B" w:rsidRDefault="00BF3C34" w:rsidP="00071CAD">
      <w:pPr>
        <w:pStyle w:val="SRTextnomal"/>
        <w:sectPr w:rsidR="00BF3C34" w:rsidRPr="005A7B7B" w:rsidSect="00187B06">
          <w:type w:val="continuous"/>
          <w:pgSz w:w="11906" w:h="16838" w:code="9"/>
          <w:pgMar w:top="1134" w:right="1134" w:bottom="1134" w:left="1134" w:header="709" w:footer="709" w:gutter="0"/>
          <w:cols w:space="397"/>
          <w:docGrid w:linePitch="360"/>
        </w:sectPr>
      </w:pPr>
    </w:p>
    <w:p w:rsidR="00E55932" w:rsidRPr="005A7B7B" w:rsidRDefault="00E55932" w:rsidP="000D440D">
      <w:pPr>
        <w:pStyle w:val="SRTitulek1"/>
        <w:rPr>
          <w:i/>
        </w:rPr>
      </w:pPr>
      <w:bookmarkStart w:id="193" w:name="_Toc175913974"/>
      <w:bookmarkEnd w:id="190"/>
      <w:r w:rsidRPr="005A7B7B">
        <w:t xml:space="preserve">Graf </w:t>
      </w:r>
      <w:fldSimple w:instr=" SEQ Graf \* ARABIC ">
        <w:r w:rsidR="0010122A">
          <w:rPr>
            <w:noProof/>
          </w:rPr>
          <w:t>20</w:t>
        </w:r>
      </w:fldSimple>
      <w:r w:rsidRPr="005A7B7B">
        <w:t xml:space="preserve"> </w:t>
      </w:r>
      <w:r w:rsidR="00031724" w:rsidRPr="005A7B7B">
        <w:t xml:space="preserve">Splatnostní profil státního dluhu </w:t>
      </w:r>
      <w:r w:rsidR="00401020" w:rsidRPr="005A7B7B">
        <w:rPr>
          <w:i/>
        </w:rPr>
        <w:t>(v mld. Kč)</w:t>
      </w:r>
      <w:bookmarkEnd w:id="193"/>
    </w:p>
    <w:p w:rsidR="002C7A04" w:rsidRDefault="00375E48" w:rsidP="00071CAD">
      <w:pPr>
        <w:pStyle w:val="SRTextnomal"/>
      </w:pPr>
      <w:r w:rsidRPr="005A7B7B">
        <w:rPr>
          <w:noProof/>
        </w:rPr>
        <w:drawing>
          <wp:inline distT="0" distB="0" distL="0" distR="0">
            <wp:extent cx="5761355" cy="3602990"/>
            <wp:effectExtent l="0" t="0" r="0"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1355" cy="3602990"/>
                    </a:xfrm>
                    <a:prstGeom prst="rect">
                      <a:avLst/>
                    </a:prstGeom>
                    <a:noFill/>
                  </pic:spPr>
                </pic:pic>
              </a:graphicData>
            </a:graphic>
          </wp:inline>
        </w:drawing>
      </w:r>
    </w:p>
    <w:p w:rsidR="00C74E4D" w:rsidRDefault="00C74E4D" w:rsidP="00071CAD">
      <w:pPr>
        <w:pStyle w:val="SRTextnomal"/>
        <w:sectPr w:rsidR="00C74E4D" w:rsidSect="00187B06">
          <w:type w:val="continuous"/>
          <w:pgSz w:w="11906" w:h="16838" w:code="9"/>
          <w:pgMar w:top="1134" w:right="1134" w:bottom="1134" w:left="1134" w:header="709" w:footer="709" w:gutter="0"/>
          <w:cols w:space="397"/>
          <w:docGrid w:linePitch="360"/>
        </w:sectPr>
      </w:pPr>
    </w:p>
    <w:p w:rsidR="00C74E4D" w:rsidRPr="005A7B7B" w:rsidRDefault="00C74E4D" w:rsidP="00071CAD">
      <w:pPr>
        <w:pStyle w:val="SRTextnomal"/>
      </w:pPr>
    </w:p>
    <w:p w:rsidR="001D387D" w:rsidRPr="005A7B7B" w:rsidRDefault="001D387D" w:rsidP="00071CAD">
      <w:pPr>
        <w:pStyle w:val="SRTextnomal"/>
        <w:sectPr w:rsidR="001D387D" w:rsidRPr="005A7B7B" w:rsidSect="00187B06">
          <w:type w:val="continuous"/>
          <w:pgSz w:w="11906" w:h="16838" w:code="9"/>
          <w:pgMar w:top="1134" w:right="1134" w:bottom="1134" w:left="1134" w:header="709" w:footer="709" w:gutter="0"/>
          <w:cols w:space="397"/>
          <w:docGrid w:linePitch="360"/>
        </w:sectPr>
      </w:pPr>
    </w:p>
    <w:p w:rsidR="00271966" w:rsidRPr="005A7B7B" w:rsidRDefault="00271966" w:rsidP="00271966">
      <w:pPr>
        <w:spacing w:after="0"/>
        <w:jc w:val="left"/>
        <w:rPr>
          <w:i/>
          <w:sz w:val="16"/>
          <w:szCs w:val="16"/>
        </w:rPr>
      </w:pPr>
      <w:r w:rsidRPr="005A7B7B">
        <w:rPr>
          <w:i/>
          <w:sz w:val="16"/>
          <w:szCs w:val="16"/>
        </w:rPr>
        <w:t xml:space="preserve">Poznámka: </w:t>
      </w:r>
      <w:r w:rsidR="003E41D8" w:rsidRPr="005A7B7B">
        <w:rPr>
          <w:i/>
          <w:sz w:val="16"/>
          <w:szCs w:val="16"/>
        </w:rPr>
        <w:t>Očekáváný splatnostní profil státního dluhu k 23. 8. 2024 bez zahrnutí zbývajících splátek v roce 2024.</w:t>
      </w:r>
    </w:p>
    <w:p w:rsidR="00C718E9" w:rsidRPr="005A7B7B" w:rsidRDefault="00271966" w:rsidP="00401020">
      <w:pPr>
        <w:jc w:val="left"/>
        <w:rPr>
          <w:i/>
          <w:sz w:val="16"/>
          <w:szCs w:val="16"/>
        </w:rPr>
      </w:pPr>
      <w:r w:rsidRPr="005A7B7B">
        <w:rPr>
          <w:i/>
          <w:sz w:val="16"/>
          <w:szCs w:val="16"/>
        </w:rPr>
        <w:t>Zdroj MF</w:t>
      </w:r>
    </w:p>
    <w:p w:rsidR="00D24A6E" w:rsidRPr="005A7B7B" w:rsidRDefault="00D24A6E" w:rsidP="00F30F46">
      <w:pPr>
        <w:sectPr w:rsidR="00D24A6E" w:rsidRPr="005A7B7B" w:rsidSect="00187B06">
          <w:type w:val="continuous"/>
          <w:pgSz w:w="11906" w:h="16838" w:code="9"/>
          <w:pgMar w:top="1134" w:right="1134" w:bottom="1134" w:left="1134" w:header="709" w:footer="709" w:gutter="0"/>
          <w:cols w:space="397"/>
          <w:docGrid w:linePitch="360"/>
        </w:sectPr>
      </w:pPr>
    </w:p>
    <w:p w:rsidR="0079185C" w:rsidRPr="005A7B7B" w:rsidRDefault="003E41D8" w:rsidP="00071CAD">
      <w:pPr>
        <w:pStyle w:val="SRTextnomal"/>
      </w:pPr>
      <w:bookmarkStart w:id="194" w:name="_Toc80264024"/>
      <w:r w:rsidRPr="005A7B7B">
        <w:t xml:space="preserve">Přibližně 93 % státního dluhu očekávaného ke konci roku 2024 bude tvořeno vnitřním dluhem většinově zastoupeným střednědobými a dlouhodobými státními </w:t>
      </w:r>
      <w:r w:rsidRPr="005A7B7B">
        <w:t>dluhopisy vydanými na domácím trhu, 7 % očekávaného státního dluhu bude pak tvořeno dluhem vnějším.</w:t>
      </w:r>
    </w:p>
    <w:p w:rsidR="00BE42E0" w:rsidRPr="005A7B7B" w:rsidRDefault="00BE42E0" w:rsidP="00BE42E0">
      <w:pPr>
        <w:sectPr w:rsidR="00BE42E0" w:rsidRPr="005A7B7B" w:rsidSect="00187B06">
          <w:type w:val="continuous"/>
          <w:pgSz w:w="11906" w:h="16838" w:code="9"/>
          <w:pgMar w:top="1134" w:right="1134" w:bottom="1134" w:left="1134" w:header="709" w:footer="709" w:gutter="0"/>
          <w:cols w:num="2" w:space="709"/>
          <w:docGrid w:linePitch="360"/>
        </w:sectPr>
      </w:pPr>
    </w:p>
    <w:p w:rsidR="00B762A9" w:rsidRPr="005A7B7B" w:rsidRDefault="00B762A9" w:rsidP="000D440D">
      <w:pPr>
        <w:pStyle w:val="SRTitulek1"/>
        <w:rPr>
          <w:i/>
        </w:rPr>
      </w:pPr>
      <w:bookmarkStart w:id="195" w:name="_Toc175913950"/>
      <w:r w:rsidRPr="005A7B7B">
        <w:lastRenderedPageBreak/>
        <w:t xml:space="preserve">Tabulka </w:t>
      </w:r>
      <w:fldSimple w:instr=" SEQ Tabulka \* ARABIC ">
        <w:r w:rsidR="0010122A">
          <w:rPr>
            <w:noProof/>
          </w:rPr>
          <w:t>28</w:t>
        </w:r>
      </w:fldSimple>
      <w:r w:rsidRPr="005A7B7B">
        <w:t xml:space="preserve"> Struktura státního dluhu </w:t>
      </w:r>
      <w:r w:rsidRPr="005A7B7B">
        <w:rPr>
          <w:i/>
        </w:rPr>
        <w:t>(v mld. Kč)</w:t>
      </w:r>
      <w:bookmarkEnd w:id="194"/>
      <w:bookmarkEnd w:id="195"/>
    </w:p>
    <w:p w:rsidR="00B762A9" w:rsidRPr="00071CAD" w:rsidRDefault="00375E48" w:rsidP="00071CAD">
      <w:pPr>
        <w:pStyle w:val="SRTextnomal"/>
      </w:pPr>
      <w:r w:rsidRPr="00071CAD">
        <w:rPr>
          <w:noProof/>
        </w:rPr>
        <w:drawing>
          <wp:inline distT="0" distB="0" distL="0" distR="0">
            <wp:extent cx="6057900" cy="268605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57900" cy="2686050"/>
                    </a:xfrm>
                    <a:prstGeom prst="rect">
                      <a:avLst/>
                    </a:prstGeom>
                    <a:noFill/>
                    <a:ln>
                      <a:noFill/>
                    </a:ln>
                  </pic:spPr>
                </pic:pic>
              </a:graphicData>
            </a:graphic>
          </wp:inline>
        </w:drawing>
      </w:r>
    </w:p>
    <w:p w:rsidR="001D387D" w:rsidRPr="00071CAD" w:rsidRDefault="001D387D" w:rsidP="00071CAD">
      <w:pPr>
        <w:pStyle w:val="SRTextnomal"/>
        <w:sectPr w:rsidR="001D387D" w:rsidRPr="00071CAD" w:rsidSect="00187B06">
          <w:type w:val="continuous"/>
          <w:pgSz w:w="11906" w:h="16838" w:code="9"/>
          <w:pgMar w:top="1134" w:right="1134" w:bottom="1134" w:left="1134" w:header="709" w:footer="709" w:gutter="0"/>
          <w:cols w:space="397"/>
          <w:docGrid w:linePitch="360"/>
        </w:sectPr>
      </w:pPr>
    </w:p>
    <w:p w:rsidR="00BE42E0" w:rsidRPr="005A7B7B" w:rsidRDefault="00BE42E0" w:rsidP="00BE42E0">
      <w:pPr>
        <w:rPr>
          <w:i/>
          <w:sz w:val="16"/>
          <w:szCs w:val="16"/>
        </w:rPr>
      </w:pPr>
      <w:r w:rsidRPr="005A7B7B">
        <w:rPr>
          <w:i/>
          <w:sz w:val="16"/>
          <w:szCs w:val="16"/>
        </w:rPr>
        <w:t>Zdroj: MF</w:t>
      </w:r>
    </w:p>
    <w:p w:rsidR="00F842D3" w:rsidRPr="005A7B7B" w:rsidRDefault="00F842D3" w:rsidP="00F842D3">
      <w:pPr>
        <w:sectPr w:rsidR="00F842D3" w:rsidRPr="005A7B7B" w:rsidSect="00187B06">
          <w:type w:val="continuous"/>
          <w:pgSz w:w="11906" w:h="16838" w:code="9"/>
          <w:pgMar w:top="1134" w:right="1134" w:bottom="1134" w:left="1134" w:header="709" w:footer="709" w:gutter="0"/>
          <w:cols w:space="397"/>
          <w:docGrid w:linePitch="360"/>
        </w:sectPr>
      </w:pPr>
    </w:p>
    <w:p w:rsidR="00424DE2" w:rsidRPr="005A7B7B" w:rsidRDefault="003E41D8" w:rsidP="00071CAD">
      <w:pPr>
        <w:pStyle w:val="SRTextnomal"/>
      </w:pPr>
      <w:r w:rsidRPr="005A7B7B">
        <w:t>Na domácím trhu střednědobých a dlouhodobých státních dluhopisů došlo v průběhu 1. pololetí roku 2024 nejprve k mírnému poklesu výnosů korunových státních dluhopisů po celé délce výnosové křivky, který byl vystřídán jejich pozvolným růstem zejména v průběhu 2. čtvrtletí roku 2024. Vývoj výnosů českých státních dluhopisů odrážel situaci na globálním trhu státních dluhopisů, přičemž na krátkém konci výnosové křivky korunových s</w:t>
      </w:r>
      <w:r w:rsidR="00071CAD">
        <w:t>tátních dluhopisů reflektoval i </w:t>
      </w:r>
      <w:r w:rsidRPr="005A7B7B">
        <w:t xml:space="preserve">nastavení měnové politiky České národní banky, která </w:t>
      </w:r>
      <w:r w:rsidRPr="005A7B7B">
        <w:t>pokračovala v cyklu snižování měnově-politických sazeb zahájeném v závěru roku 2023. V průběhu 1. pololetí roku 2024 snížila bankovní rada České národní banky čtyřikrát dvoutýdenní repo sazbu o 50 bazických bodů, celkem tedy o 200 bazických bodů na 4,75 % p. a. na konci 1. pololetí roku 2024. Výnos 3letého státního dluhopisu dosahoval n</w:t>
      </w:r>
      <w:r w:rsidR="00071CAD">
        <w:t>a konci června 2024 hodnoty 4,1 </w:t>
      </w:r>
      <w:r w:rsidRPr="005A7B7B">
        <w:t>% p. a., výnos 5letého 4,1 % p. a. a výnos 10letého dluhopisu 4,2 % p. a.</w:t>
      </w:r>
    </w:p>
    <w:p w:rsidR="00B32E10" w:rsidRPr="005A7B7B" w:rsidRDefault="00B32E10" w:rsidP="00031724">
      <w:pPr>
        <w:rPr>
          <w:noProof/>
        </w:rPr>
        <w:sectPr w:rsidR="00B32E10" w:rsidRPr="005A7B7B" w:rsidSect="00187B06">
          <w:type w:val="continuous"/>
          <w:pgSz w:w="11906" w:h="16838" w:code="9"/>
          <w:pgMar w:top="1134" w:right="1134" w:bottom="1134" w:left="1134" w:header="709" w:footer="709" w:gutter="0"/>
          <w:cols w:num="2" w:space="709"/>
          <w:docGrid w:linePitch="360"/>
        </w:sectPr>
      </w:pPr>
    </w:p>
    <w:p w:rsidR="00C17097" w:rsidRPr="005A7B7B" w:rsidRDefault="00C17097" w:rsidP="00C17097">
      <w:pPr>
        <w:pStyle w:val="SRTitulek1"/>
        <w:rPr>
          <w:i/>
        </w:rPr>
      </w:pPr>
      <w:bookmarkStart w:id="196" w:name="_Toc52369883"/>
      <w:bookmarkStart w:id="197" w:name="_Toc175913975"/>
      <w:r w:rsidRPr="005A7B7B">
        <w:t xml:space="preserve">Graf </w:t>
      </w:r>
      <w:fldSimple w:instr=" SEQ Graf \* ARABIC ">
        <w:r w:rsidR="0010122A">
          <w:rPr>
            <w:noProof/>
          </w:rPr>
          <w:t>21</w:t>
        </w:r>
      </w:fldSimple>
      <w:r w:rsidRPr="005A7B7B">
        <w:t xml:space="preserve"> Vývoj výnosů státních dluhopisů a měnově-politické sazby ČNB</w:t>
      </w:r>
      <w:bookmarkEnd w:id="197"/>
    </w:p>
    <w:p w:rsidR="00377A80" w:rsidRDefault="00375E48" w:rsidP="00377A80">
      <w:pPr>
        <w:pStyle w:val="SRTextnomal"/>
      </w:pPr>
      <w:r w:rsidRPr="005A7B7B">
        <w:rPr>
          <w:noProof/>
        </w:rPr>
        <w:drawing>
          <wp:inline distT="0" distB="0" distL="0" distR="0">
            <wp:extent cx="5852795" cy="3752215"/>
            <wp:effectExtent l="0" t="0" r="0" b="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52795" cy="3752215"/>
                    </a:xfrm>
                    <a:prstGeom prst="rect">
                      <a:avLst/>
                    </a:prstGeom>
                    <a:noFill/>
                  </pic:spPr>
                </pic:pic>
              </a:graphicData>
            </a:graphic>
          </wp:inline>
        </w:drawing>
      </w:r>
    </w:p>
    <w:p w:rsidR="00E35C22" w:rsidRDefault="00E35C22" w:rsidP="00377A80">
      <w:pPr>
        <w:pStyle w:val="SRTextnomal"/>
        <w:sectPr w:rsidR="00E35C22" w:rsidSect="00187B06">
          <w:type w:val="continuous"/>
          <w:pgSz w:w="11906" w:h="16838" w:code="9"/>
          <w:pgMar w:top="1134" w:right="1134" w:bottom="1134" w:left="1134" w:header="709" w:footer="709" w:gutter="0"/>
          <w:cols w:space="397"/>
          <w:docGrid w:linePitch="360"/>
        </w:sectPr>
      </w:pPr>
    </w:p>
    <w:p w:rsidR="00E35C22" w:rsidRPr="005A7B7B" w:rsidRDefault="00E35C22" w:rsidP="00377A80">
      <w:pPr>
        <w:pStyle w:val="SRTextnomal"/>
      </w:pPr>
    </w:p>
    <w:p w:rsidR="003E41D8" w:rsidRPr="005A7B7B" w:rsidRDefault="003E41D8" w:rsidP="00377A80">
      <w:pPr>
        <w:pStyle w:val="SRTextnomal"/>
        <w:sectPr w:rsidR="003E41D8" w:rsidRPr="005A7B7B" w:rsidSect="00187B06">
          <w:type w:val="continuous"/>
          <w:pgSz w:w="11906" w:h="16838" w:code="9"/>
          <w:pgMar w:top="1134" w:right="1134" w:bottom="1134" w:left="1134" w:header="709" w:footer="709" w:gutter="0"/>
          <w:cols w:space="397"/>
          <w:docGrid w:linePitch="360"/>
        </w:sectPr>
      </w:pPr>
    </w:p>
    <w:p w:rsidR="003E41D8" w:rsidRPr="005A7B7B" w:rsidRDefault="003E41D8" w:rsidP="003E41D8">
      <w:pPr>
        <w:pStyle w:val="Zdrojpodtabulkounebografem"/>
      </w:pPr>
      <w:r w:rsidRPr="005A7B7B">
        <w:rPr>
          <w:noProof/>
        </w:rPr>
        <w:t>Zdroj: MF, MTS, ČNB</w:t>
      </w:r>
    </w:p>
    <w:p w:rsidR="00377A80" w:rsidRPr="005A7B7B" w:rsidRDefault="00377A80" w:rsidP="00377A80">
      <w:pPr>
        <w:pStyle w:val="SRTextnomal"/>
        <w:sectPr w:rsidR="00377A80" w:rsidRPr="005A7B7B" w:rsidSect="00187B06">
          <w:type w:val="continuous"/>
          <w:pgSz w:w="11906" w:h="16838" w:code="9"/>
          <w:pgMar w:top="1134" w:right="1134" w:bottom="1134" w:left="1134" w:header="709" w:footer="709" w:gutter="0"/>
          <w:cols w:space="397"/>
          <w:docGrid w:linePitch="360"/>
        </w:sectPr>
      </w:pPr>
    </w:p>
    <w:p w:rsidR="0031336F" w:rsidRPr="005A7B7B" w:rsidRDefault="0031336F" w:rsidP="000D440D">
      <w:pPr>
        <w:pStyle w:val="SRTitulek1"/>
        <w:rPr>
          <w:i/>
        </w:rPr>
      </w:pPr>
      <w:bookmarkStart w:id="198" w:name="_Toc175913951"/>
      <w:r w:rsidRPr="00CC6A72">
        <w:lastRenderedPageBreak/>
        <w:t xml:space="preserve">Tabulka </w:t>
      </w:r>
      <w:fldSimple w:instr=" SEQ Tabulka \* ARABIC ">
        <w:r w:rsidR="0010122A">
          <w:rPr>
            <w:noProof/>
          </w:rPr>
          <w:t>29</w:t>
        </w:r>
      </w:fldSimple>
      <w:r w:rsidRPr="00CC6A72">
        <w:t xml:space="preserve"> Základní ukazatele kapitoly Státní dluh </w:t>
      </w:r>
      <w:r w:rsidRPr="00CC6A72">
        <w:rPr>
          <w:i/>
        </w:rPr>
        <w:t>(v mil. Kč)</w:t>
      </w:r>
      <w:bookmarkEnd w:id="198"/>
    </w:p>
    <w:p w:rsidR="0031336F" w:rsidRPr="005A7B7B" w:rsidRDefault="00375E48" w:rsidP="0031336F">
      <w:pPr>
        <w:pStyle w:val="SRTextnomal"/>
      </w:pPr>
      <w:r w:rsidRPr="00CC6A72">
        <w:rPr>
          <w:noProof/>
        </w:rPr>
        <w:drawing>
          <wp:inline distT="0" distB="0" distL="0" distR="0">
            <wp:extent cx="5353050" cy="1057275"/>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53050" cy="1057275"/>
                    </a:xfrm>
                    <a:prstGeom prst="rect">
                      <a:avLst/>
                    </a:prstGeom>
                    <a:noFill/>
                    <a:ln>
                      <a:noFill/>
                    </a:ln>
                  </pic:spPr>
                </pic:pic>
              </a:graphicData>
            </a:graphic>
          </wp:inline>
        </w:drawing>
      </w:r>
    </w:p>
    <w:p w:rsidR="00AF7292" w:rsidRPr="005A7B7B" w:rsidRDefault="00AF7292" w:rsidP="0031336F">
      <w:pPr>
        <w:pStyle w:val="SRTextnomal"/>
      </w:pPr>
    </w:p>
    <w:p w:rsidR="00601907" w:rsidRPr="005A7B7B" w:rsidRDefault="00601907" w:rsidP="0031336F">
      <w:pPr>
        <w:pStyle w:val="SRTextnomal"/>
        <w:sectPr w:rsidR="00601907" w:rsidRPr="005A7B7B" w:rsidSect="00187B06">
          <w:type w:val="continuous"/>
          <w:pgSz w:w="11906" w:h="16838" w:code="9"/>
          <w:pgMar w:top="1134" w:right="1134" w:bottom="1134" w:left="1134" w:header="709" w:footer="709" w:gutter="0"/>
          <w:cols w:space="397"/>
          <w:docGrid w:linePitch="360"/>
        </w:sectPr>
      </w:pPr>
    </w:p>
    <w:p w:rsidR="00601907" w:rsidRPr="005A7B7B" w:rsidRDefault="001E16A6" w:rsidP="00071CAD">
      <w:pPr>
        <w:pStyle w:val="SRTextnomal"/>
      </w:pPr>
      <w:r w:rsidRPr="005A7B7B">
        <w:t xml:space="preserve">Rozpočtovaný schodek státního rozpočtu na rok 2025 ve výši 230 mld. Kč a zvýšení stavu na účtech státních finančních aktiv o 7,4 mld. Kč budou pokryty zvýšením stavu státního dluhu o 237,4 mld. Kč. V důsledku realizace vzájemného zápočtu výdajů a příjmů, v rámci kterého nejsou příjmy kapitoly samostatně vykazovány, ale snižují </w:t>
      </w:r>
      <w:r w:rsidRPr="005A7B7B">
        <w:t>uskutečněné výdaje, jsou tyto příjmy rozpočtovány v nulové výši. Rozpočtované výdaje kapitoly Státní dluh v celkové výši 100 mld. Kč pro rok 2025 mají téměř výhradně charakter úrokových výdajů na obsluhu státního dluhu. Poplatky spojené s obsluhou státního dluhu jsou pro rok 2025 rozpočtovány ve výši 1 mld. Kč.</w:t>
      </w:r>
    </w:p>
    <w:p w:rsidR="00377A80" w:rsidRPr="005A7B7B" w:rsidRDefault="00377A80" w:rsidP="00601907">
      <w:pPr>
        <w:spacing w:after="0"/>
        <w:rPr>
          <w:color w:val="000000"/>
        </w:rPr>
        <w:sectPr w:rsidR="00377A80" w:rsidRPr="005A7B7B" w:rsidSect="00187B06">
          <w:type w:val="continuous"/>
          <w:pgSz w:w="11906" w:h="16838" w:code="9"/>
          <w:pgMar w:top="1134" w:right="1134" w:bottom="1134" w:left="1134" w:header="709" w:footer="709" w:gutter="0"/>
          <w:cols w:num="2" w:space="397"/>
          <w:docGrid w:linePitch="360"/>
        </w:sectPr>
      </w:pPr>
    </w:p>
    <w:p w:rsidR="00BA499C" w:rsidRPr="005A7B7B" w:rsidRDefault="00BA499C" w:rsidP="0031336F">
      <w:pPr>
        <w:pStyle w:val="SRTextnomal"/>
      </w:pPr>
    </w:p>
    <w:p w:rsidR="0031336F" w:rsidRPr="005A7B7B" w:rsidRDefault="0031336F" w:rsidP="0031336F">
      <w:pPr>
        <w:pStyle w:val="SRTextnomal"/>
        <w:sectPr w:rsidR="0031336F" w:rsidRPr="005A7B7B" w:rsidSect="00187B06">
          <w:type w:val="continuous"/>
          <w:pgSz w:w="11906" w:h="16838" w:code="9"/>
          <w:pgMar w:top="1134" w:right="1134" w:bottom="1134" w:left="1134" w:header="709" w:footer="709" w:gutter="0"/>
          <w:cols w:space="397"/>
          <w:docGrid w:linePitch="360"/>
        </w:sectPr>
      </w:pPr>
    </w:p>
    <w:p w:rsidR="007453AB" w:rsidRPr="005A7B7B" w:rsidRDefault="00171C58" w:rsidP="004912D7">
      <w:pPr>
        <w:pStyle w:val="SRNadpis2"/>
      </w:pPr>
      <w:bookmarkStart w:id="199" w:name="_Toc175913915"/>
      <w:r w:rsidRPr="005A7B7B">
        <w:t xml:space="preserve">Komentář k rozpočtu kapitoly </w:t>
      </w:r>
      <w:r w:rsidR="009449E5" w:rsidRPr="005A7B7B">
        <w:t>Operace státních finančních aktiv</w:t>
      </w:r>
      <w:bookmarkEnd w:id="196"/>
      <w:bookmarkEnd w:id="199"/>
    </w:p>
    <w:p w:rsidR="00E83B08" w:rsidRPr="005A7B7B" w:rsidRDefault="00E83B08" w:rsidP="00671AAF">
      <w:pPr>
        <w:pStyle w:val="SRNadpis3"/>
        <w:sectPr w:rsidR="00E83B08" w:rsidRPr="005A7B7B" w:rsidSect="00187B06">
          <w:type w:val="continuous"/>
          <w:pgSz w:w="11906" w:h="16838" w:code="9"/>
          <w:pgMar w:top="1134" w:right="1134" w:bottom="1134" w:left="1134" w:header="709" w:footer="709" w:gutter="0"/>
          <w:cols w:space="397"/>
          <w:docGrid w:linePitch="360"/>
        </w:sectPr>
      </w:pPr>
    </w:p>
    <w:p w:rsidR="000F46D7" w:rsidRPr="005A7B7B" w:rsidRDefault="000F46D7" w:rsidP="00071CAD">
      <w:pPr>
        <w:pStyle w:val="SRTextnomal"/>
      </w:pPr>
      <w:r w:rsidRPr="005A7B7B">
        <w:t>Rozpočet kapitoly Operace státních finančních aktiv na rok 2025 počítá s celkovými příjmy ve výši 8 311,5 mil. Kč a s celkovými výdaji ve výši 10 mil. Kč.</w:t>
      </w:r>
    </w:p>
    <w:p w:rsidR="000F46D7" w:rsidRPr="005A7B7B" w:rsidRDefault="000F46D7" w:rsidP="00071CAD">
      <w:pPr>
        <w:pStyle w:val="SRTextnomal"/>
      </w:pPr>
      <w:r w:rsidRPr="005A7B7B">
        <w:t xml:space="preserve">Na příjmových operacích kapitoly Operace státních finančních aktiv se značnou měrou podílejí transfery od nefinančních podniků a korporací ve výši 1 710 mil. Kč, v tom jako daňové příjmy odvody od původců radioaktivních odpadů na jaderný účet ve výši </w:t>
      </w:r>
      <w:r w:rsidR="00B872A5" w:rsidRPr="005A7B7B">
        <w:t>1 700</w:t>
      </w:r>
      <w:r w:rsidRPr="005A7B7B">
        <w:t xml:space="preserve"> mil. Kč (podseskupení položek 133) a příjmy z likvidace státních podniků ve výši 10 mil. Kč (podseskupení položek 212).</w:t>
      </w:r>
    </w:p>
    <w:p w:rsidR="000F46D7" w:rsidRPr="005A7B7B" w:rsidRDefault="000F46D7" w:rsidP="00071CAD">
      <w:pPr>
        <w:pStyle w:val="SRTextnomal"/>
      </w:pPr>
      <w:r w:rsidRPr="005A7B7B">
        <w:t xml:space="preserve">Větší podíl na příjmech kapitoly mají příjmy z úroků a realizace finančního majetku v celkové výši 6 600 mil. Kč (podseskupení položek 214), z toho příjmy z dividend v celkové výši 5 100 mil. Kč a čisté úrokové výnosy z </w:t>
      </w:r>
      <w:r w:rsidRPr="005A7B7B">
        <w:t xml:space="preserve">finančního investování na jaderném účtu v celkové výši 1 500 mil. Kč. </w:t>
      </w:r>
    </w:p>
    <w:p w:rsidR="000F46D7" w:rsidRPr="005A7B7B" w:rsidRDefault="000F46D7" w:rsidP="00071CAD">
      <w:pPr>
        <w:pStyle w:val="SRTextnomal"/>
      </w:pPr>
      <w:r w:rsidRPr="005A7B7B">
        <w:t>Ostatní příjmy této kapitoly tvoří vratky prostředků v předpokládané výši 1,5 mil. Kč (podseskupení položek 222).</w:t>
      </w:r>
    </w:p>
    <w:p w:rsidR="000F46D7" w:rsidRPr="005A7B7B" w:rsidRDefault="000F46D7" w:rsidP="00071CAD">
      <w:pPr>
        <w:pStyle w:val="SRTextnomal"/>
      </w:pPr>
      <w:r w:rsidRPr="005A7B7B">
        <w:t>Celkové</w:t>
      </w:r>
      <w:r w:rsidR="002F4E0B" w:rsidRPr="005A7B7B">
        <w:t xml:space="preserve"> předpokládané výdaje kapitoly </w:t>
      </w:r>
      <w:r w:rsidRPr="005A7B7B">
        <w:t>Operace státních finančních aktiv ve výši 10 mil. Kč v sobě zahrnují přímé výdaje na ostatní závazky dlouhodobého charakteru, např. úhrady poplatků za služby související s držbou cenných papírů apod</w:t>
      </w:r>
      <w:r w:rsidR="00DB6768" w:rsidRPr="005A7B7B">
        <w:t>.</w:t>
      </w:r>
    </w:p>
    <w:p w:rsidR="004A5054" w:rsidRPr="005A7B7B" w:rsidRDefault="000F46D7" w:rsidP="00071CAD">
      <w:pPr>
        <w:pStyle w:val="SRTextnomal"/>
      </w:pPr>
      <w:r w:rsidRPr="005A7B7B">
        <w:t>Výdaje kryté z účtů státních finančních aktiv a přenesené do jiných rozpočtových kapitol nejsou od roku 2022 na základě novely zákona č. 218/2000 Sb., o rozpočtových pravidlech</w:t>
      </w:r>
      <w:r w:rsidR="002C4E08">
        <w:t>,</w:t>
      </w:r>
      <w:r w:rsidRPr="005A7B7B">
        <w:t xml:space="preserve"> rozpočtovány v kapitole Operace státních finančních aktiv, ale přímo v příslušných kapitolách.</w:t>
      </w:r>
    </w:p>
    <w:p w:rsidR="00B55FC4" w:rsidRPr="005A7B7B" w:rsidRDefault="00B55FC4" w:rsidP="00671AAF">
      <w:pPr>
        <w:pStyle w:val="SRNadpis3"/>
        <w:numPr>
          <w:ilvl w:val="0"/>
          <w:numId w:val="0"/>
        </w:numPr>
        <w:sectPr w:rsidR="00B55FC4" w:rsidRPr="005A7B7B" w:rsidSect="00187B06">
          <w:type w:val="continuous"/>
          <w:pgSz w:w="11906" w:h="16838" w:code="9"/>
          <w:pgMar w:top="1134" w:right="1134" w:bottom="1134" w:left="1134" w:header="709" w:footer="709" w:gutter="0"/>
          <w:cols w:num="2" w:space="397"/>
          <w:docGrid w:linePitch="360"/>
        </w:sectPr>
      </w:pPr>
    </w:p>
    <w:p w:rsidR="00075EEF" w:rsidRPr="005A7B7B" w:rsidRDefault="00171C58" w:rsidP="004912D7">
      <w:pPr>
        <w:pStyle w:val="SRNadpis2"/>
      </w:pPr>
      <w:bookmarkStart w:id="200" w:name="_Toc175913916"/>
      <w:r w:rsidRPr="005A7B7B">
        <w:t xml:space="preserve">Komentář k rozpočtu kapitoly </w:t>
      </w:r>
      <w:r w:rsidR="00075EEF" w:rsidRPr="005A7B7B">
        <w:t>Všeobecná pokladní správa</w:t>
      </w:r>
      <w:bookmarkEnd w:id="200"/>
    </w:p>
    <w:p w:rsidR="00FF7E42" w:rsidRPr="005A7B7B" w:rsidRDefault="00FF7E42" w:rsidP="00671AAF">
      <w:pPr>
        <w:pStyle w:val="SRNadpis3"/>
        <w:sectPr w:rsidR="00FF7E42" w:rsidRPr="005A7B7B" w:rsidSect="00187B06">
          <w:type w:val="continuous"/>
          <w:pgSz w:w="11906" w:h="16838" w:code="9"/>
          <w:pgMar w:top="1134" w:right="1134" w:bottom="1134" w:left="1134" w:header="709" w:footer="709" w:gutter="0"/>
          <w:cols w:space="397"/>
          <w:docGrid w:linePitch="360"/>
        </w:sectPr>
      </w:pPr>
    </w:p>
    <w:p w:rsidR="003B0C92" w:rsidRPr="005A7B7B" w:rsidRDefault="003B0C92" w:rsidP="00071CAD">
      <w:pPr>
        <w:pStyle w:val="SRTextnomal"/>
      </w:pPr>
      <w:r w:rsidRPr="005A7B7B">
        <w:t xml:space="preserve">Celkové příjmy kapitoly Všeobecná pokladní správa jsou pro rok 2025 rozpočtovány ve výši 1 045,4 mld. </w:t>
      </w:r>
      <w:r w:rsidRPr="00071CAD">
        <w:t>Kč</w:t>
      </w:r>
      <w:r w:rsidRPr="005A7B7B">
        <w:t>, tj. meziroční nárůst o 64,7 mld. Kč.</w:t>
      </w:r>
    </w:p>
    <w:p w:rsidR="003B0C92" w:rsidRPr="005A7B7B" w:rsidRDefault="003B0C92" w:rsidP="00071CAD">
      <w:pPr>
        <w:pStyle w:val="SRTextnomal"/>
      </w:pPr>
      <w:r w:rsidRPr="005A7B7B">
        <w:t>Daňové příjmy jsou meziročně vyšší o téměř 78 mld. Kč na úroveň 1 022,7 mld. Kč, nedaňové příjmy jsou meziročně vyšší o 0,2 mld. Kč na úroveň 6,2 mld. Kč, kde se zvyšuje odvod přebytku z provozu zákonného pojištění odpovědnosti zaměstnavatele za škodu způsobenou při pracovním úrazu nebo nemoci z povolání o 0,2 mld. Kč. Přijaté transfery jsou pro rok 2025 rozpočtovány ve výši 16,5 mld. Kč a jedná se o příjmy ze zvláštních účtů MF, což představuje meziroční pokles o 13,5 mld. Kč.</w:t>
      </w:r>
    </w:p>
    <w:p w:rsidR="003B0C92" w:rsidRPr="005A7B7B" w:rsidRDefault="003B0C92" w:rsidP="003B0C92">
      <w:pPr>
        <w:pStyle w:val="SRTextnomal"/>
      </w:pPr>
      <w:r w:rsidRPr="005A7B7B">
        <w:t>Rozpočet kapitoly Všeobecná pokladní správa obsahuje výdaje ve výši 269,5 mld. Kč. Ve srovnání s rokem 2024 dochází k poklesu výdajů o 4,1 mld. Kč.</w:t>
      </w:r>
    </w:p>
    <w:p w:rsidR="003B0C92" w:rsidRPr="005A7B7B" w:rsidRDefault="003B0C92" w:rsidP="00071CAD">
      <w:pPr>
        <w:pStyle w:val="SRTextnomal"/>
      </w:pPr>
      <w:r w:rsidRPr="005A7B7B">
        <w:rPr>
          <w:b/>
        </w:rPr>
        <w:t>Vládní rozpočtová rezerva</w:t>
      </w:r>
      <w:r w:rsidRPr="005A7B7B">
        <w:t xml:space="preserve"> je v roce 2025 rozpočtována ve výši 18 mld. Kč</w:t>
      </w:r>
      <w:r w:rsidR="002C4E08">
        <w:t>,</w:t>
      </w:r>
      <w:r w:rsidRPr="005A7B7B">
        <w:t xml:space="preserve"> tj. 0,78 % výdajů státního </w:t>
      </w:r>
      <w:r w:rsidRPr="00071CAD">
        <w:t>rozpočtu</w:t>
      </w:r>
      <w:r w:rsidRPr="005A7B7B">
        <w:t>.</w:t>
      </w:r>
    </w:p>
    <w:p w:rsidR="003B0C92" w:rsidRPr="005A7B7B" w:rsidRDefault="003B0C92" w:rsidP="003B0C92">
      <w:pPr>
        <w:pStyle w:val="SRTextnomal"/>
      </w:pPr>
      <w:r w:rsidRPr="005A7B7B">
        <w:t>V rozpočtu výdajů jsou zabezpečeny prostředky na </w:t>
      </w:r>
      <w:r w:rsidRPr="005A7B7B">
        <w:rPr>
          <w:b/>
        </w:rPr>
        <w:t>odvody do rozpočtu Evropské unie</w:t>
      </w:r>
      <w:r w:rsidRPr="005A7B7B">
        <w:t xml:space="preserve"> (včetně příspěvků na úroky za makrofinanční pomoci Ukrajině) v celkové výši 65,3 mld. Kč a </w:t>
      </w:r>
      <w:r w:rsidRPr="005A7B7B">
        <w:rPr>
          <w:b/>
        </w:rPr>
        <w:t>platby mezinárodním finančním institucím a fondům</w:t>
      </w:r>
      <w:r w:rsidRPr="005A7B7B">
        <w:t xml:space="preserve"> ve výši 0,7 mld. Kč.</w:t>
      </w:r>
    </w:p>
    <w:p w:rsidR="003B0C92" w:rsidRPr="005A7B7B" w:rsidRDefault="003B0C92" w:rsidP="003B0C92">
      <w:pPr>
        <w:pStyle w:val="SRTextnomal"/>
      </w:pPr>
      <w:r w:rsidRPr="005A7B7B">
        <w:t xml:space="preserve">Dále jsou v kapitole </w:t>
      </w:r>
      <w:r w:rsidRPr="005A7B7B">
        <w:rPr>
          <w:b/>
        </w:rPr>
        <w:t>Všeobecná pokladní správa</w:t>
      </w:r>
      <w:r w:rsidRPr="005A7B7B">
        <w:t xml:space="preserve"> rozpočtovány mimo jiné:</w:t>
      </w:r>
    </w:p>
    <w:p w:rsidR="003B0C92" w:rsidRPr="005A7B7B" w:rsidRDefault="003B0C92" w:rsidP="003B0C92">
      <w:pPr>
        <w:pStyle w:val="SROdrka1"/>
      </w:pPr>
      <w:r w:rsidRPr="005A7B7B">
        <w:t xml:space="preserve">výdaje na </w:t>
      </w:r>
      <w:r w:rsidRPr="005A7B7B">
        <w:rPr>
          <w:b/>
        </w:rPr>
        <w:t>datové schránky</w:t>
      </w:r>
      <w:r w:rsidRPr="005A7B7B">
        <w:t xml:space="preserve"> ve výši 1,055 mld. Kč, kdy od roku 2023 došlo k posílení této položky z důvodu vyššího počtu povinně zřízených datových schránek (doporučené zásilky pro 2,5 milionu nových uživatelů) a s tím související zvýšené nároky na kapacitní posílení systému;</w:t>
      </w:r>
    </w:p>
    <w:p w:rsidR="003B0C92" w:rsidRPr="005A7B7B" w:rsidRDefault="003B0C92" w:rsidP="003B0C92">
      <w:pPr>
        <w:pStyle w:val="SROdrka1"/>
      </w:pPr>
      <w:r w:rsidRPr="005A7B7B">
        <w:rPr>
          <w:b/>
        </w:rPr>
        <w:t xml:space="preserve">výdaje na platbu pojistného na veřejné zdravotní pojištění </w:t>
      </w:r>
      <w:r w:rsidRPr="005A7B7B">
        <w:t xml:space="preserve">ze státního rozpočtu za osoby, za které je plátcem stát, jsou rozpočtovány ve výši 154,6 mld. Kč. Navýšení oproti schválenému rozpočtu roku 2024 činí </w:t>
      </w:r>
      <w:r w:rsidRPr="005A7B7B">
        <w:lastRenderedPageBreak/>
        <w:t>3,6 mld. Kč, tj. 2,4 %. Meziroční navýšení je způsobeno zákonnou automatickou valorizací vyměřovacího základu podle růstu spotřebitelských cen. Vyměřovací základ se navýší z částky z 15 440 Kč na 15 749 Kč za kalendářní měsíc. To představuje zvýšení měsíční platby za jednoho pojištěnce z částky 2 085 Kč na 2 127 Kč;</w:t>
      </w:r>
    </w:p>
    <w:p w:rsidR="003B0C92" w:rsidRPr="005A7B7B" w:rsidRDefault="003B0C92" w:rsidP="003B0C92">
      <w:pPr>
        <w:pStyle w:val="SROdrka1"/>
      </w:pPr>
      <w:r w:rsidRPr="005A7B7B">
        <w:t xml:space="preserve">výdaje na </w:t>
      </w:r>
      <w:r w:rsidRPr="005A7B7B">
        <w:rPr>
          <w:b/>
        </w:rPr>
        <w:t>stavební spoření</w:t>
      </w:r>
      <w:r w:rsidRPr="005A7B7B">
        <w:t xml:space="preserve"> ve výši 2 mld. Kč, tj. meziroční pokles o 2,2 mld. Kč;</w:t>
      </w:r>
    </w:p>
    <w:p w:rsidR="003B0C92" w:rsidRPr="005A7B7B" w:rsidRDefault="003B0C92" w:rsidP="003B0C92">
      <w:pPr>
        <w:pStyle w:val="SROdrka1"/>
      </w:pPr>
      <w:r w:rsidRPr="005A7B7B">
        <w:t xml:space="preserve">výdaje </w:t>
      </w:r>
      <w:r w:rsidRPr="005A7B7B">
        <w:rPr>
          <w:b/>
        </w:rPr>
        <w:t>na penzijní připojištění a doplňkové penzijní spoření</w:t>
      </w:r>
      <w:r w:rsidRPr="005A7B7B">
        <w:t xml:space="preserve"> ve výši 7,5 mld. Kč, tj. meziroční pokles o 0,5 mld. Kč;</w:t>
      </w:r>
    </w:p>
    <w:p w:rsidR="003B0C92" w:rsidRPr="005A7B7B" w:rsidRDefault="003B0C92" w:rsidP="003B0C92">
      <w:pPr>
        <w:pStyle w:val="SROdrka1"/>
      </w:pPr>
      <w:r w:rsidRPr="005A7B7B">
        <w:t xml:space="preserve">prostředky pro </w:t>
      </w:r>
      <w:r w:rsidRPr="005A7B7B">
        <w:rPr>
          <w:b/>
        </w:rPr>
        <w:t>neziskové organizace</w:t>
      </w:r>
      <w:r w:rsidRPr="005A7B7B">
        <w:t xml:space="preserve"> (tzv. „paměťové instituce“) nejsou rozpočtovány</w:t>
      </w:r>
      <w:r w:rsidR="002C320C">
        <w:t>, nový dotační program vznikne v rámci kapitoly Úřad vlády</w:t>
      </w:r>
      <w:r w:rsidRPr="005A7B7B">
        <w:t>;</w:t>
      </w:r>
    </w:p>
    <w:p w:rsidR="003B0C92" w:rsidRPr="005A7B7B" w:rsidRDefault="003B0C92" w:rsidP="003B0C92">
      <w:pPr>
        <w:pStyle w:val="SROdrka1"/>
      </w:pPr>
      <w:r w:rsidRPr="005A7B7B">
        <w:t xml:space="preserve">výdaje na zajištění průběhu </w:t>
      </w:r>
      <w:r w:rsidRPr="005A7B7B">
        <w:rPr>
          <w:b/>
          <w:bCs/>
        </w:rPr>
        <w:t>voleb</w:t>
      </w:r>
      <w:r w:rsidRPr="005A7B7B">
        <w:t xml:space="preserve"> jsou rozpočtovány ve výši 0,8 mld. Kč (z toho částka 0,5 mld. Kč je určena pro územní samosprávné celky); oproti roku 2024 se jedná o pokles celkových výdajů na volby o 0,8 mld. Kč. V roce 2025 se budou konat pouze jedny „velké“ volby do Poslanecké sněmovny, přičemž v roce 2024 se konají volby do Evropského parlamentu a rovněž krajské volby současně s volbami do třetiny Senátu;</w:t>
      </w:r>
    </w:p>
    <w:p w:rsidR="003B0C92" w:rsidRPr="005A7B7B" w:rsidRDefault="003B0C92" w:rsidP="003B0C92">
      <w:pPr>
        <w:pStyle w:val="SROdrka1"/>
      </w:pPr>
      <w:r w:rsidRPr="005A7B7B">
        <w:t>příspěvek politickým stranám činí 588,9 mil. Kč;</w:t>
      </w:r>
    </w:p>
    <w:p w:rsidR="003B0C92" w:rsidRPr="005A7B7B" w:rsidRDefault="003B0C92" w:rsidP="003B0C92">
      <w:pPr>
        <w:pStyle w:val="SROdrka1"/>
      </w:pPr>
      <w:r w:rsidRPr="005A7B7B">
        <w:t>úhrada volebních nákladů politických stran je rozpočtována ve výši 662,1 mil. Kč;</w:t>
      </w:r>
    </w:p>
    <w:p w:rsidR="003B0C92" w:rsidRPr="005A7B7B" w:rsidRDefault="003B0C92" w:rsidP="003B0C92">
      <w:pPr>
        <w:pStyle w:val="SROdrka1"/>
      </w:pPr>
      <w:r w:rsidRPr="005A7B7B">
        <w:rPr>
          <w:b/>
        </w:rPr>
        <w:t xml:space="preserve">odškodnění </w:t>
      </w:r>
      <w:r w:rsidRPr="005A7B7B">
        <w:t>obětem trestné činnosti, škody způsobené při výkonu veřejné moci, soudní spory z titulu ochrany osobnosti, soudní řízení o omezení vlastnického práva, ostatní náhrady celkem ve výši 850 mil. Kč;</w:t>
      </w:r>
    </w:p>
    <w:p w:rsidR="003B0C92" w:rsidRPr="005A7B7B" w:rsidRDefault="003B0C92" w:rsidP="003B0C92">
      <w:pPr>
        <w:pStyle w:val="SROdrka1"/>
      </w:pPr>
      <w:r w:rsidRPr="005A7B7B">
        <w:t xml:space="preserve">výdaje na </w:t>
      </w:r>
      <w:r w:rsidRPr="005A7B7B">
        <w:rPr>
          <w:b/>
        </w:rPr>
        <w:t>civilní mise</w:t>
      </w:r>
      <w:r w:rsidRPr="005A7B7B">
        <w:t xml:space="preserve"> EU a dalších mezinárodních vládních organizací a do volebních pozorovatelských misí ve výši 120 mil. Kč;</w:t>
      </w:r>
    </w:p>
    <w:p w:rsidR="003B0C92" w:rsidRPr="005A7B7B" w:rsidRDefault="003B0C92" w:rsidP="003B0C92">
      <w:pPr>
        <w:pStyle w:val="SROdrka1"/>
      </w:pPr>
      <w:r w:rsidRPr="005A7B7B">
        <w:t xml:space="preserve">financování </w:t>
      </w:r>
      <w:r w:rsidRPr="005A7B7B">
        <w:rPr>
          <w:b/>
        </w:rPr>
        <w:t>stáží zaměstnanců</w:t>
      </w:r>
      <w:r w:rsidRPr="005A7B7B">
        <w:t xml:space="preserve"> české státní správy v institucích EU ve výši 80 mil. Kč;</w:t>
      </w:r>
    </w:p>
    <w:p w:rsidR="003B0C92" w:rsidRPr="005A7B7B" w:rsidRDefault="003B0C92" w:rsidP="003B0C92">
      <w:pPr>
        <w:pStyle w:val="SROdrka1"/>
      </w:pPr>
      <w:r w:rsidRPr="005A7B7B">
        <w:rPr>
          <w:b/>
        </w:rPr>
        <w:t>náhrady podle zvláštních právních předpisů</w:t>
      </w:r>
      <w:r w:rsidRPr="005A7B7B">
        <w:t xml:space="preserve"> vyplácené prostřednictvím krajských úřadů ve výši 255,2 mil. Kč;</w:t>
      </w:r>
    </w:p>
    <w:p w:rsidR="003B0C92" w:rsidRPr="005A7B7B" w:rsidRDefault="003B0C92" w:rsidP="003B0C92">
      <w:pPr>
        <w:pStyle w:val="SROdrka1"/>
      </w:pPr>
      <w:r w:rsidRPr="005A7B7B">
        <w:t>finanční vztahy státního rozpočtu k rozpočtům krajů, k rozpočtům obcí a k rozpočtu hl. m. Prahy jsou rozpočtovány ve výši 13,7 mld. Kč;</w:t>
      </w:r>
    </w:p>
    <w:p w:rsidR="003B0C92" w:rsidRPr="005A7B7B" w:rsidRDefault="003B0C92" w:rsidP="003B0C92">
      <w:pPr>
        <w:pStyle w:val="SROdrka1"/>
      </w:pPr>
      <w:r w:rsidRPr="005A7B7B">
        <w:t>výdaje na programové financování ve výši 55 mil. Kč;</w:t>
      </w:r>
    </w:p>
    <w:p w:rsidR="003B0C92" w:rsidRPr="005A7B7B" w:rsidRDefault="003B0C92" w:rsidP="003B0C92">
      <w:pPr>
        <w:pStyle w:val="SROdrka1"/>
      </w:pPr>
      <w:r w:rsidRPr="005A7B7B">
        <w:t>rezerva na řešení krizových situací, jejich předcházení a odstraňování jejich následků (zákon č. 240/2000 Sb.) ve výši 140 mil. Kč;</w:t>
      </w:r>
    </w:p>
    <w:p w:rsidR="00534A33" w:rsidRPr="005A7B7B" w:rsidRDefault="003B0C92" w:rsidP="003B0C92">
      <w:pPr>
        <w:pStyle w:val="SROdrka1"/>
      </w:pPr>
      <w:r w:rsidRPr="005A7B7B">
        <w:t>rezerva na mimořádné výdaje podle zákona č. 239/2000 Sb. o integrovaném záchranném systému ve výši 60 mil. Kč.</w:t>
      </w:r>
    </w:p>
    <w:p w:rsidR="00534A33" w:rsidRPr="005A7B7B" w:rsidRDefault="00534A33" w:rsidP="006A138C">
      <w:pPr>
        <w:pStyle w:val="SROdrka1"/>
        <w:sectPr w:rsidR="00534A33" w:rsidRPr="005A7B7B" w:rsidSect="00187B06">
          <w:type w:val="continuous"/>
          <w:pgSz w:w="11906" w:h="16838" w:code="9"/>
          <w:pgMar w:top="1134" w:right="1134" w:bottom="1134" w:left="1134" w:header="709" w:footer="709" w:gutter="0"/>
          <w:cols w:num="2" w:space="397"/>
          <w:docGrid w:linePitch="360"/>
        </w:sectPr>
      </w:pPr>
    </w:p>
    <w:p w:rsidR="009449E5" w:rsidRPr="005A7B7B" w:rsidRDefault="009449E5" w:rsidP="007866E6">
      <w:pPr>
        <w:pStyle w:val="SRNadpis1"/>
      </w:pPr>
      <w:bookmarkStart w:id="201" w:name="_Toc52369890"/>
      <w:bookmarkStart w:id="202" w:name="_Ref81213498"/>
      <w:bookmarkStart w:id="203" w:name="_Toc175913917"/>
      <w:r w:rsidRPr="005A7B7B">
        <w:lastRenderedPageBreak/>
        <w:t xml:space="preserve">Finanční vztahy k rozpočtu EU, EHP, Norsku a </w:t>
      </w:r>
      <w:r w:rsidR="00866244" w:rsidRPr="005A7B7B">
        <w:br/>
      </w:r>
      <w:r w:rsidRPr="005A7B7B">
        <w:t>Švýcarsku</w:t>
      </w:r>
      <w:bookmarkEnd w:id="201"/>
      <w:bookmarkEnd w:id="202"/>
      <w:bookmarkEnd w:id="203"/>
    </w:p>
    <w:p w:rsidR="00E91340" w:rsidRPr="005A7B7B" w:rsidRDefault="00E91340" w:rsidP="00E91340">
      <w:pPr>
        <w:sectPr w:rsidR="00E91340" w:rsidRPr="005A7B7B" w:rsidSect="00187B06">
          <w:type w:val="continuous"/>
          <w:pgSz w:w="11906" w:h="16838" w:code="9"/>
          <w:pgMar w:top="1134" w:right="1134" w:bottom="1134" w:left="1134" w:header="709" w:footer="709" w:gutter="0"/>
          <w:cols w:space="397"/>
          <w:docGrid w:linePitch="360"/>
        </w:sectPr>
      </w:pPr>
    </w:p>
    <w:p w:rsidR="00F12818" w:rsidRPr="005A7B7B" w:rsidRDefault="00532301" w:rsidP="00D06E57">
      <w:pPr>
        <w:pStyle w:val="SRNadpis2"/>
      </w:pPr>
      <w:bookmarkStart w:id="204" w:name="_Toc175913918"/>
      <w:r w:rsidRPr="005A7B7B">
        <w:t>Čistá pozice ČR vůči rozpočtu EU a finanční vztahy vůči FM</w:t>
      </w:r>
      <w:bookmarkEnd w:id="204"/>
    </w:p>
    <w:p w:rsidR="00F12818" w:rsidRPr="005A7B7B" w:rsidRDefault="00F12818" w:rsidP="00D06E57">
      <w:pPr>
        <w:pStyle w:val="SRNadpis2"/>
        <w:sectPr w:rsidR="00F12818" w:rsidRPr="005A7B7B" w:rsidSect="00187B06">
          <w:type w:val="continuous"/>
          <w:pgSz w:w="11906" w:h="16838" w:code="9"/>
          <w:pgMar w:top="1134" w:right="1134" w:bottom="1134" w:left="1134" w:header="709" w:footer="709" w:gutter="0"/>
          <w:cols w:space="397"/>
          <w:docGrid w:linePitch="360"/>
        </w:sectPr>
      </w:pPr>
    </w:p>
    <w:p w:rsidR="002955EA" w:rsidRPr="005A7B7B" w:rsidRDefault="002955EA" w:rsidP="002955EA">
      <w:pPr>
        <w:pStyle w:val="SRTextnomal"/>
      </w:pPr>
      <w:r w:rsidRPr="005A7B7B">
        <w:t>Česká republika se jako člen EU podílí na financování rozpočtu EU a zároveň je i příjemcem přerozdělovaných finančních prostředků z rozpočtu EU.</w:t>
      </w:r>
    </w:p>
    <w:p w:rsidR="002955EA" w:rsidRPr="005A7B7B" w:rsidRDefault="002955EA" w:rsidP="002955EA">
      <w:pPr>
        <w:pStyle w:val="SRTextnomal"/>
      </w:pPr>
      <w:r w:rsidRPr="005A7B7B">
        <w:t xml:space="preserve">Příjmy z fondů politiky soudržnosti, společné zemědělské politiky, fondů v oblasti vnitřních věcí, přímo či nepřímo řízených programů, umožňují v ČR financovat projekty v oblasti budování infrastruktury, ochrany životního prostředí, výzkumu, vzdělávání, zaměstnanosti, azylové a migrační politiky, digitalizace, snižování spotřeby energie apod. V reakci na celosvětovou politickou, společenskou, ekonomickou a zdravotní situaci členské státy EU využívají další příjmy z rozpočtu EU v rámci  balíčku Evropské unie NextgenerationEU dále jen „NGEU“ na podporu hospodářského oživení po pandemii a pomoc v souvislosti uprchlickou krizí. Příjmy z  NGEU tvoří prostředky z Nástroje pro oživení a odolnost na Národní plán obnovy, z Fondu pro spravedlivou transformaci, </w:t>
      </w:r>
      <w:r w:rsidRPr="005A7B7B">
        <w:t>programu React-EU, kterým se navýšily prostředky fondů politiky soudržnosti a nástroje na obnovu EU EURI, kterým se doplnil program rozvoje venkova.</w:t>
      </w:r>
    </w:p>
    <w:p w:rsidR="002955EA" w:rsidRPr="005A7B7B" w:rsidRDefault="002955EA" w:rsidP="002955EA">
      <w:pPr>
        <w:pStyle w:val="SRTextnomal"/>
      </w:pPr>
      <w:r w:rsidRPr="005A7B7B">
        <w:t>Odvody do rozpočtu EU, které jsou započítávány do čisté pozice, jsou tvořeny pouze vlastními zdroji (tj. zdroj dle DPH, zdroj dle HND, zdroj z nerecyklovaných plastových obalů a hrubé snížení zdrojů založených na HND hrazených ze státního rozpočtu a cla uvalená na dovozy do EU ze třetích zemí hrazená mimo státní rozpočet).</w:t>
      </w:r>
    </w:p>
    <w:p w:rsidR="00041895" w:rsidRPr="005A7B7B" w:rsidRDefault="002955EA" w:rsidP="002955EA">
      <w:pPr>
        <w:pStyle w:val="SRTextnomal"/>
        <w:rPr>
          <w:b/>
        </w:rPr>
      </w:pPr>
      <w:r w:rsidRPr="005A7B7B">
        <w:t xml:space="preserve">Česká republika od svého vstupu do EU v roce 2004 do 30. 6. 2024 </w:t>
      </w:r>
      <w:r w:rsidRPr="005A7B7B">
        <w:rPr>
          <w:b/>
        </w:rPr>
        <w:t>odvedla 906,3</w:t>
      </w:r>
      <w:r w:rsidR="00550418">
        <w:rPr>
          <w:b/>
        </w:rPr>
        <w:t> </w:t>
      </w:r>
      <w:r w:rsidRPr="005A7B7B">
        <w:rPr>
          <w:b/>
        </w:rPr>
        <w:t xml:space="preserve">mld. Kč </w:t>
      </w:r>
      <w:r w:rsidRPr="005A7B7B">
        <w:t xml:space="preserve">a získala </w:t>
      </w:r>
      <w:r w:rsidRPr="005A7B7B">
        <w:rPr>
          <w:b/>
        </w:rPr>
        <w:t>téměř 2,08</w:t>
      </w:r>
      <w:r w:rsidR="00035F0D" w:rsidRPr="005A7B7B">
        <w:rPr>
          <w:b/>
        </w:rPr>
        <w:t> </w:t>
      </w:r>
      <w:r w:rsidRPr="005A7B7B">
        <w:rPr>
          <w:b/>
        </w:rPr>
        <w:t xml:space="preserve">bil. Kč </w:t>
      </w:r>
      <w:r w:rsidRPr="005A7B7B">
        <w:t>při započítání příjmů z NGEU. Kladné saldo ČR tak k 30. 6. 2024 činí 1,17 bil. Kč</w:t>
      </w:r>
      <w:r w:rsidR="002C4E08">
        <w:t>.</w:t>
      </w:r>
      <w:r w:rsidRPr="005A7B7B">
        <w:t xml:space="preserve"> Česká republika je tedy čistým příjemcem, tzn., </w:t>
      </w:r>
      <w:r w:rsidR="002C4E08">
        <w:t xml:space="preserve">že </w:t>
      </w:r>
      <w:r w:rsidRPr="005A7B7B">
        <w:t xml:space="preserve">získává z rozpočtu EU více prostředků, než do něj odvádí, a tzv. </w:t>
      </w:r>
      <w:r w:rsidRPr="005A7B7B">
        <w:rPr>
          <w:b/>
        </w:rPr>
        <w:t>čistá pozice ČR ve vztahu k rozpočtu EU je tak kladná.</w:t>
      </w:r>
    </w:p>
    <w:p w:rsidR="00E91340" w:rsidRPr="005A7B7B" w:rsidRDefault="00E91340" w:rsidP="00E91340">
      <w:pPr>
        <w:sectPr w:rsidR="00E91340" w:rsidRPr="005A7B7B" w:rsidSect="00187B06">
          <w:type w:val="continuous"/>
          <w:pgSz w:w="11906" w:h="16838" w:code="9"/>
          <w:pgMar w:top="1134" w:right="1134" w:bottom="1134" w:left="1134" w:header="709" w:footer="709" w:gutter="0"/>
          <w:cols w:num="2" w:space="397"/>
          <w:docGrid w:linePitch="360"/>
        </w:sectPr>
      </w:pPr>
    </w:p>
    <w:p w:rsidR="00576FF3" w:rsidRPr="005A7B7B" w:rsidRDefault="00576FF3" w:rsidP="000D440D">
      <w:pPr>
        <w:pStyle w:val="SRTitulek1"/>
      </w:pPr>
      <w:bookmarkStart w:id="205" w:name="_Toc175913952"/>
      <w:r w:rsidRPr="005A7B7B">
        <w:t xml:space="preserve">Tabulka </w:t>
      </w:r>
      <w:fldSimple w:instr=" SEQ Tabulka \* ARABIC ">
        <w:r w:rsidR="0010122A">
          <w:rPr>
            <w:noProof/>
          </w:rPr>
          <w:t>30</w:t>
        </w:r>
      </w:fldSimple>
      <w:r w:rsidRPr="005A7B7B">
        <w:t xml:space="preserve"> Vývoj příjmů z rozpočtu EU a odvodů do rozpočtu EU </w:t>
      </w:r>
      <w:r w:rsidRPr="005A7B7B">
        <w:rPr>
          <w:i/>
        </w:rPr>
        <w:t>(</w:t>
      </w:r>
      <w:r w:rsidR="00C244AC" w:rsidRPr="005A7B7B">
        <w:rPr>
          <w:i/>
        </w:rPr>
        <w:t xml:space="preserve">skutečnost </w:t>
      </w:r>
      <w:r w:rsidRPr="005A7B7B">
        <w:rPr>
          <w:i/>
        </w:rPr>
        <w:t>v mld. Kč)</w:t>
      </w:r>
      <w:bookmarkEnd w:id="205"/>
    </w:p>
    <w:p w:rsidR="00763F3B" w:rsidRDefault="00375E48" w:rsidP="00C244AC">
      <w:r w:rsidRPr="005A7B7B">
        <w:rPr>
          <w:noProof/>
        </w:rPr>
        <w:drawing>
          <wp:inline distT="0" distB="0" distL="0" distR="0">
            <wp:extent cx="6057900" cy="7048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057900" cy="704850"/>
                    </a:xfrm>
                    <a:prstGeom prst="rect">
                      <a:avLst/>
                    </a:prstGeom>
                    <a:noFill/>
                    <a:ln>
                      <a:noFill/>
                    </a:ln>
                  </pic:spPr>
                </pic:pic>
              </a:graphicData>
            </a:graphic>
          </wp:inline>
        </w:drawing>
      </w:r>
    </w:p>
    <w:p w:rsidR="0036290E" w:rsidRDefault="0036290E" w:rsidP="00C244AC">
      <w:pPr>
        <w:sectPr w:rsidR="0036290E" w:rsidSect="00187B06">
          <w:type w:val="continuous"/>
          <w:pgSz w:w="11906" w:h="16838" w:code="9"/>
          <w:pgMar w:top="1134" w:right="1134" w:bottom="1134" w:left="1134" w:header="709" w:footer="709" w:gutter="0"/>
          <w:cols w:space="397"/>
          <w:docGrid w:linePitch="360"/>
        </w:sectPr>
      </w:pPr>
    </w:p>
    <w:p w:rsidR="0036290E" w:rsidRDefault="0036290E" w:rsidP="00C244AC"/>
    <w:p w:rsidR="0036290E" w:rsidRDefault="0036290E" w:rsidP="00C244AC">
      <w:pPr>
        <w:sectPr w:rsidR="0036290E" w:rsidSect="00187B06">
          <w:type w:val="continuous"/>
          <w:pgSz w:w="11906" w:h="16838" w:code="9"/>
          <w:pgMar w:top="1134" w:right="1134" w:bottom="1134" w:left="1134" w:header="709" w:footer="709" w:gutter="0"/>
          <w:cols w:space="397"/>
          <w:docGrid w:linePitch="360"/>
        </w:sectPr>
      </w:pPr>
    </w:p>
    <w:p w:rsidR="00E91340" w:rsidRPr="005A7B7B" w:rsidRDefault="00E91340" w:rsidP="000D440D">
      <w:pPr>
        <w:pStyle w:val="SRTitulek1"/>
        <w:rPr>
          <w:i/>
        </w:rPr>
      </w:pPr>
      <w:bookmarkStart w:id="206" w:name="_Toc175913976"/>
      <w:r w:rsidRPr="005A7B7B">
        <w:t xml:space="preserve">Graf </w:t>
      </w:r>
      <w:fldSimple w:instr=" SEQ Graf \* ARABIC ">
        <w:r w:rsidR="0010122A">
          <w:rPr>
            <w:noProof/>
          </w:rPr>
          <w:t>22</w:t>
        </w:r>
      </w:fldSimple>
      <w:r w:rsidRPr="005A7B7B">
        <w:t xml:space="preserve"> Vývoj </w:t>
      </w:r>
      <w:r w:rsidR="00576FF3" w:rsidRPr="005A7B7B">
        <w:t xml:space="preserve">čisté pozice ČR vůči rozpočtu EU </w:t>
      </w:r>
      <w:r w:rsidRPr="005A7B7B">
        <w:rPr>
          <w:i/>
        </w:rPr>
        <w:t>(v mld. Kč)</w:t>
      </w:r>
      <w:bookmarkEnd w:id="206"/>
    </w:p>
    <w:p w:rsidR="002955EA" w:rsidRPr="005A7B7B" w:rsidRDefault="00375E48" w:rsidP="00F17546">
      <w:pPr>
        <w:pStyle w:val="SRTextnomal"/>
        <w:rPr>
          <w:noProof/>
        </w:rPr>
      </w:pPr>
      <w:r w:rsidRPr="005A7B7B">
        <w:rPr>
          <w:noProof/>
        </w:rPr>
        <w:drawing>
          <wp:inline distT="0" distB="0" distL="0" distR="0">
            <wp:extent cx="5953760" cy="3150235"/>
            <wp:effectExtent l="0" t="0" r="0" b="0"/>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53760" cy="3150235"/>
                    </a:xfrm>
                    <a:prstGeom prst="rect">
                      <a:avLst/>
                    </a:prstGeom>
                    <a:noFill/>
                  </pic:spPr>
                </pic:pic>
              </a:graphicData>
            </a:graphic>
          </wp:inline>
        </w:drawing>
      </w:r>
    </w:p>
    <w:p w:rsidR="0036290E" w:rsidRDefault="0036290E" w:rsidP="00F17546">
      <w:pPr>
        <w:pStyle w:val="SRTextnomal"/>
        <w:rPr>
          <w:noProof/>
        </w:rPr>
        <w:sectPr w:rsidR="0036290E" w:rsidSect="00187B06">
          <w:type w:val="continuous"/>
          <w:pgSz w:w="11906" w:h="16838" w:code="9"/>
          <w:pgMar w:top="1134" w:right="1134" w:bottom="1134" w:left="1134" w:header="709" w:footer="709" w:gutter="0"/>
          <w:cols w:space="397"/>
          <w:docGrid w:linePitch="360"/>
        </w:sectPr>
      </w:pPr>
    </w:p>
    <w:p w:rsidR="00E91340" w:rsidRPr="005A7B7B" w:rsidRDefault="00E91340" w:rsidP="00F17546">
      <w:pPr>
        <w:pStyle w:val="SRTextnomal"/>
        <w:rPr>
          <w:noProof/>
        </w:rPr>
      </w:pPr>
    </w:p>
    <w:p w:rsidR="00D84737" w:rsidRPr="005A7B7B" w:rsidRDefault="00D84737" w:rsidP="00F17546">
      <w:pPr>
        <w:pStyle w:val="SRTextnomal"/>
        <w:rPr>
          <w:noProof/>
        </w:rPr>
        <w:sectPr w:rsidR="00D84737" w:rsidRPr="005A7B7B" w:rsidSect="00187B06">
          <w:type w:val="continuous"/>
          <w:pgSz w:w="11906" w:h="16838" w:code="9"/>
          <w:pgMar w:top="1134" w:right="1134" w:bottom="1134" w:left="1134" w:header="709" w:footer="709" w:gutter="0"/>
          <w:cols w:space="397"/>
          <w:docGrid w:linePitch="360"/>
        </w:sectPr>
      </w:pPr>
    </w:p>
    <w:p w:rsidR="002955EA" w:rsidRPr="005A7B7B" w:rsidRDefault="002955EA" w:rsidP="002955EA">
      <w:pPr>
        <w:pStyle w:val="SRTextnomal"/>
      </w:pPr>
      <w:r w:rsidRPr="005A7B7B">
        <w:lastRenderedPageBreak/>
        <w:t xml:space="preserve">Česká republika je také od roku 2004, kdy vstoupila do Evropské unie a tím také do Evropského hospodářského prostoru (EHP), který je dohodou mezi EU a zeměmi Evropského sdružení volného obchodu (ESVO), příjemcem podpory od Norska, Islandu a Lichtenštejnska v rámci tzv. </w:t>
      </w:r>
      <w:r w:rsidRPr="005A7B7B">
        <w:rPr>
          <w:b/>
        </w:rPr>
        <w:t>Finančních mechanismů EHP a Norska</w:t>
      </w:r>
      <w:r w:rsidRPr="005A7B7B">
        <w:t>. Mezi příjemce finanční podpory aktuálně patří 15 zemí ve střední, východní a jižní Evropě, tedy převážně takzvané nové členské státy EU.</w:t>
      </w:r>
    </w:p>
    <w:p w:rsidR="002955EA" w:rsidRPr="005A7B7B" w:rsidRDefault="002955EA" w:rsidP="002955EA">
      <w:pPr>
        <w:rPr>
          <w:color w:val="000000"/>
        </w:rPr>
      </w:pPr>
      <w:r w:rsidRPr="005A7B7B">
        <w:rPr>
          <w:bCs/>
        </w:rPr>
        <w:t xml:space="preserve">Oblasti podpory zahrnují např. </w:t>
      </w:r>
      <w:r w:rsidRPr="005A7B7B">
        <w:t xml:space="preserve">revitalizaci kulturního dědictví, podporu současného umění, ochranu životního prostředí, řešení sociální problematiky a ochranu lidských práv, zdravotnictví, spolupráci ve vzdělání, vědě a výzkumu, posílení neziskového sektoru či spolupráci v justici. V  prvním (2004 – 2009) a druhém (2009 – 2014) programovacím období Finanční mechanismy EHP a Norska v České republice podpořily přes 1000 projektů za více než 6 mld. Kč. Ve třetím programovacím období </w:t>
      </w:r>
      <w:r w:rsidRPr="005A7B7B">
        <w:rPr>
          <w:color w:val="000000"/>
        </w:rPr>
        <w:t xml:space="preserve">2014 – 2021 bylo pro ČR alokováno přes 5 mld. Kč a realizováno více než 500 projektů. </w:t>
      </w:r>
      <w:r w:rsidRPr="005A7B7B">
        <w:t>V roce 2024 byly všechny schválené projekty ukončeny.</w:t>
      </w:r>
      <w:r w:rsidRPr="005A7B7B">
        <w:rPr>
          <w:color w:val="000000"/>
        </w:rPr>
        <w:t xml:space="preserve"> Realizace </w:t>
      </w:r>
      <w:r w:rsidRPr="005A7B7B">
        <w:t xml:space="preserve">programů, Bilaterálního fondu a technické asistence na národní úrovni (Ministerstvo financí), a s tím </w:t>
      </w:r>
      <w:r w:rsidRPr="005A7B7B">
        <w:rPr>
          <w:color w:val="000000"/>
        </w:rPr>
        <w:t xml:space="preserve">související čerpání finančních prostředků, bude ukončena v průběhu roku 2025. </w:t>
      </w:r>
    </w:p>
    <w:p w:rsidR="002955EA" w:rsidRPr="005A7B7B" w:rsidRDefault="002955EA" w:rsidP="002955EA">
      <w:r w:rsidRPr="005A7B7B">
        <w:t xml:space="preserve">S ohledem na stav vyjednávání čtvrtého programového období 2021 – 2028 (FM EHP/Norsko IV) lze v roce 2025 očekávat čerpání prostředků na technickou asistenci na </w:t>
      </w:r>
      <w:r w:rsidRPr="005A7B7B">
        <w:t>národní úrovni (Ministerstvo financí) a přípravu jednotlivých programů.</w:t>
      </w:r>
    </w:p>
    <w:p w:rsidR="002955EA" w:rsidRPr="005A7B7B" w:rsidRDefault="002955EA" w:rsidP="002955EA">
      <w:pPr>
        <w:pStyle w:val="SRTextnomal"/>
      </w:pPr>
      <w:r w:rsidRPr="005A7B7B">
        <w:t>Česká republika je také příjemcem podpory od Švýcarska v rámci tzv</w:t>
      </w:r>
      <w:r w:rsidRPr="005A7B7B">
        <w:rPr>
          <w:b/>
        </w:rPr>
        <w:t>. Programu švýcarsko-české spolupráce</w:t>
      </w:r>
      <w:r w:rsidRPr="005A7B7B">
        <w:t>. V roce 2023 byla uzavřena mezinárodní smlouva na zahájení čerpání z tzv. Druhého švýcarského příspěvku (</w:t>
      </w:r>
      <w:r w:rsidRPr="005A7B7B">
        <w:rPr>
          <w:b/>
        </w:rPr>
        <w:t>Program švýcarsko-české spolupráce 2</w:t>
      </w:r>
      <w:r w:rsidRPr="005A7B7B">
        <w:t>).</w:t>
      </w:r>
    </w:p>
    <w:p w:rsidR="002955EA" w:rsidRPr="005A7B7B" w:rsidRDefault="002955EA" w:rsidP="002955EA">
      <w:r w:rsidRPr="005A7B7B">
        <w:t xml:space="preserve">V roce 2025 bude pokračovat čerpání výdajů na Technickou podporu pro Národní koordinační jednotku, Platební orgán a Auditní orgán (Ministerstvo financí) a bude zahájena realizace všech schválených programů v oblasti ochrany životního prostředí, vědy a výzkumu, migrace a domácí péče. Výdaje na realizaci programů budou vyžadovat národní spolufinancování ve výši 15 %. </w:t>
      </w:r>
    </w:p>
    <w:p w:rsidR="002955EA" w:rsidRPr="005A7B7B" w:rsidRDefault="002955EA" w:rsidP="002955EA">
      <w:pPr>
        <w:pStyle w:val="SRTextnomal"/>
      </w:pPr>
      <w:r w:rsidRPr="005A7B7B">
        <w:t>Výše uvedené údaje zahrnují jak prostředky přijaté a odváděné prostřednictvím vybraných účtů podřízených státní pokladně (Národní fond, státní rozpočet atd.), tak ostatní prostředky na realizaci evropských politik a finančním mechanismů, které jsou přijímány konečnými příjemci ze soukromého i veřejného sektoru přímo bez zprostředkování orgány na národní úrovni prostřednictvím účtů státního rozpočtu. Výše uvedený pohled podává obraz o přijatých prostředcích z rozpočtu EU a finančních mechanismů a poskytnutých do rozpočtu EU za celou ČR. Následující kapitoly komentují pouze výdaje státního rozpočtu.</w:t>
      </w:r>
    </w:p>
    <w:p w:rsidR="00742B45" w:rsidRPr="005A7B7B" w:rsidRDefault="00742B45" w:rsidP="00D06E57">
      <w:pPr>
        <w:pStyle w:val="SRNadpis2"/>
        <w:sectPr w:rsidR="00742B45" w:rsidRPr="005A7B7B" w:rsidSect="00187B06">
          <w:type w:val="continuous"/>
          <w:pgSz w:w="11906" w:h="16838" w:code="9"/>
          <w:pgMar w:top="1134" w:right="1134" w:bottom="1134" w:left="1134" w:header="709" w:footer="709" w:gutter="0"/>
          <w:cols w:num="2" w:space="397"/>
          <w:docGrid w:linePitch="360"/>
        </w:sectPr>
      </w:pPr>
    </w:p>
    <w:p w:rsidR="000D1A3C" w:rsidRPr="005A7B7B" w:rsidRDefault="000D1A3C" w:rsidP="00D06E57">
      <w:pPr>
        <w:pStyle w:val="SRNadpis2"/>
      </w:pPr>
      <w:bookmarkStart w:id="207" w:name="_Toc52369891"/>
      <w:bookmarkStart w:id="208" w:name="_Toc175913919"/>
      <w:r w:rsidRPr="005A7B7B">
        <w:t>Výdaje státního rozpočtu v souvislosti s rozpočtem EU a finanč</w:t>
      </w:r>
      <w:r w:rsidR="005809A1" w:rsidRPr="005A7B7B">
        <w:t>ními</w:t>
      </w:r>
      <w:r w:rsidRPr="005A7B7B">
        <w:t xml:space="preserve"> mechanismy</w:t>
      </w:r>
      <w:bookmarkEnd w:id="208"/>
    </w:p>
    <w:p w:rsidR="000D1A3C" w:rsidRPr="005A7B7B" w:rsidRDefault="000D1A3C" w:rsidP="00D06E57">
      <w:pPr>
        <w:pStyle w:val="SRNadpis2"/>
        <w:sectPr w:rsidR="000D1A3C" w:rsidRPr="005A7B7B" w:rsidSect="00187B06">
          <w:type w:val="continuous"/>
          <w:pgSz w:w="11906" w:h="16838" w:code="9"/>
          <w:pgMar w:top="1134" w:right="1134" w:bottom="1134" w:left="1134" w:header="709" w:footer="709" w:gutter="0"/>
          <w:cols w:space="397"/>
          <w:docGrid w:linePitch="360"/>
        </w:sectPr>
      </w:pPr>
    </w:p>
    <w:p w:rsidR="002955EA" w:rsidRPr="005A7B7B" w:rsidRDefault="002955EA" w:rsidP="002955EA">
      <w:pPr>
        <w:pStyle w:val="SRTextnomal"/>
      </w:pPr>
      <w:r w:rsidRPr="005A7B7B">
        <w:t xml:space="preserve">Tyto výdaje lze rozdělit do tří kategorií. </w:t>
      </w:r>
    </w:p>
    <w:p w:rsidR="002955EA" w:rsidRPr="005A7B7B" w:rsidRDefault="002955EA" w:rsidP="002955EA">
      <w:pPr>
        <w:pStyle w:val="SROdrka1"/>
      </w:pPr>
      <w:r w:rsidRPr="005A7B7B">
        <w:t xml:space="preserve">Členství v EU je podmíněno odvody členských států do rozpočtu EU, ze kterých je plněna příjmová strana rozpočtu EU. Z výdajového účtu státního rozpočtu kapitoly Všeobecná pokladní správa jsou hrazeny vlastní zdroje dle DPH, HND, z nerecyklovaných plastových obalů a hrubé snížení zdrojů založených na HND případně další odvody do EU. Ve státním rozpočtu je na rok 2025 naplánována částka 65 mld. Kč na odvody vlastních zdrojů a částka 0,3 mld. Kč na makrofinanční pomoc Ukrajině. </w:t>
      </w:r>
    </w:p>
    <w:p w:rsidR="002955EA" w:rsidRPr="005A7B7B" w:rsidRDefault="002955EA" w:rsidP="002955EA">
      <w:pPr>
        <w:pStyle w:val="SROdrka1"/>
      </w:pPr>
      <w:r w:rsidRPr="005A7B7B">
        <w:t xml:space="preserve">Další kategorií jsou výdaje státního rozpočtu na předfinancování evropských politik včetně podílu </w:t>
      </w:r>
      <w:r w:rsidRPr="005A7B7B">
        <w:t xml:space="preserve">státního rozpočtu na spolufinancování. Celková částka vyčleněná na oblast EU dosahuje  173,7 mld. Kč; přičemž z toho 153,2 mld. Kč bude kryto příjmy z rozpočtu EU a 20,5 mld. Kč přispěje státní rozpočet na spolufinancování. </w:t>
      </w:r>
    </w:p>
    <w:p w:rsidR="002955EA" w:rsidRPr="005A7B7B" w:rsidRDefault="002955EA" w:rsidP="002955EA">
      <w:pPr>
        <w:pStyle w:val="SROdrka1"/>
      </w:pPr>
      <w:r w:rsidRPr="005A7B7B">
        <w:t>Poslední samostatnou kategorií jsou prostředky na financování aktivit v rámci finančních mechanismů v celkové výši 445,6 mil. Kč (podíl FM 372,1 mil. Kč a podíl SR 73,4 mil. Kč). V případě finančních mechanismů není Česká republika povinována žádnými odvody k vytváření zdrojů pro financování těchto aktivit.</w:t>
      </w:r>
    </w:p>
    <w:p w:rsidR="0068331C" w:rsidRPr="005A7B7B" w:rsidRDefault="0068331C" w:rsidP="002955EA">
      <w:pPr>
        <w:pStyle w:val="SROdrka1"/>
        <w:numPr>
          <w:ilvl w:val="0"/>
          <w:numId w:val="0"/>
        </w:numPr>
        <w:ind w:left="284" w:hanging="284"/>
      </w:pPr>
    </w:p>
    <w:p w:rsidR="00AD7583" w:rsidRPr="005A7B7B" w:rsidRDefault="00AD7583" w:rsidP="006A138C">
      <w:pPr>
        <w:pStyle w:val="SROdrka1"/>
        <w:sectPr w:rsidR="00AD7583" w:rsidRPr="005A7B7B" w:rsidSect="00187B06">
          <w:type w:val="continuous"/>
          <w:pgSz w:w="11906" w:h="16838" w:code="9"/>
          <w:pgMar w:top="1134" w:right="1134" w:bottom="1134" w:left="1134" w:header="709" w:footer="709" w:gutter="0"/>
          <w:cols w:num="2" w:space="397"/>
          <w:docGrid w:linePitch="360"/>
        </w:sectPr>
      </w:pPr>
    </w:p>
    <w:p w:rsidR="002955EA" w:rsidRPr="005A7B7B" w:rsidRDefault="002955EA" w:rsidP="00671AAF">
      <w:pPr>
        <w:pStyle w:val="SRNadpis3"/>
        <w:sectPr w:rsidR="002955EA" w:rsidRPr="005A7B7B" w:rsidSect="00187B06">
          <w:type w:val="continuous"/>
          <w:pgSz w:w="11906" w:h="16838" w:code="9"/>
          <w:pgMar w:top="1134" w:right="1134" w:bottom="1134" w:left="1134" w:header="709" w:footer="709" w:gutter="0"/>
          <w:cols w:space="397"/>
          <w:docGrid w:linePitch="360"/>
        </w:sectPr>
      </w:pPr>
    </w:p>
    <w:p w:rsidR="00041895" w:rsidRPr="005A7B7B" w:rsidRDefault="00041895" w:rsidP="00671AAF">
      <w:pPr>
        <w:pStyle w:val="SRNadpis3"/>
      </w:pPr>
      <w:bookmarkStart w:id="209" w:name="_Toc175913920"/>
      <w:r w:rsidRPr="005A7B7B">
        <w:lastRenderedPageBreak/>
        <w:t>Výdaje státního rozpočtu – odvod</w:t>
      </w:r>
      <w:r w:rsidR="00DD08B2" w:rsidRPr="005A7B7B">
        <w:t>y</w:t>
      </w:r>
      <w:r w:rsidRPr="005A7B7B">
        <w:t xml:space="preserve"> </w:t>
      </w:r>
      <w:r w:rsidR="00DD08B2" w:rsidRPr="005A7B7B">
        <w:t xml:space="preserve">do </w:t>
      </w:r>
      <w:r w:rsidRPr="005A7B7B">
        <w:t>E</w:t>
      </w:r>
      <w:r w:rsidR="00DD08B2" w:rsidRPr="005A7B7B">
        <w:t>vropské unie</w:t>
      </w:r>
      <w:r w:rsidR="002955EA" w:rsidRPr="005A7B7B">
        <w:t xml:space="preserve"> a makrofinanční pomoc + pro Ukrajinu</w:t>
      </w:r>
      <w:bookmarkEnd w:id="209"/>
    </w:p>
    <w:p w:rsidR="00041895" w:rsidRPr="005A7B7B" w:rsidRDefault="00041895" w:rsidP="000D440D">
      <w:pPr>
        <w:pStyle w:val="SRTitulek1"/>
        <w:rPr>
          <w:i/>
        </w:rPr>
      </w:pPr>
      <w:bookmarkStart w:id="210" w:name="_Toc80264031"/>
      <w:bookmarkStart w:id="211" w:name="_Toc175913953"/>
      <w:r w:rsidRPr="005A7B7B">
        <w:t xml:space="preserve">Tabulka </w:t>
      </w:r>
      <w:fldSimple w:instr=" SEQ Tabulka \* ARABIC ">
        <w:r w:rsidR="0010122A">
          <w:rPr>
            <w:noProof/>
          </w:rPr>
          <w:t>31</w:t>
        </w:r>
      </w:fldSimple>
      <w:r w:rsidRPr="005A7B7B">
        <w:t xml:space="preserve"> Odvody </w:t>
      </w:r>
      <w:r w:rsidR="00DD08B2" w:rsidRPr="005A7B7B">
        <w:t xml:space="preserve">do </w:t>
      </w:r>
      <w:r w:rsidRPr="005A7B7B">
        <w:t xml:space="preserve">EU </w:t>
      </w:r>
      <w:r w:rsidRPr="005A7B7B">
        <w:rPr>
          <w:i/>
        </w:rPr>
        <w:t>(v mld. Kč)</w:t>
      </w:r>
      <w:bookmarkEnd w:id="210"/>
      <w:bookmarkEnd w:id="211"/>
    </w:p>
    <w:p w:rsidR="0068331C" w:rsidRPr="005A7B7B" w:rsidRDefault="00375E48" w:rsidP="002955EA">
      <w:pPr>
        <w:pStyle w:val="SRTextnomal"/>
        <w:keepNext/>
        <w:rPr>
          <w:rFonts w:cs="Arial"/>
        </w:rPr>
      </w:pPr>
      <w:r w:rsidRPr="005A7B7B">
        <w:rPr>
          <w:noProof/>
        </w:rPr>
        <w:drawing>
          <wp:inline distT="0" distB="0" distL="0" distR="0">
            <wp:extent cx="5486400" cy="771525"/>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771525"/>
                    </a:xfrm>
                    <a:prstGeom prst="rect">
                      <a:avLst/>
                    </a:prstGeom>
                    <a:noFill/>
                    <a:ln>
                      <a:noFill/>
                    </a:ln>
                  </pic:spPr>
                </pic:pic>
              </a:graphicData>
            </a:graphic>
          </wp:inline>
        </w:drawing>
      </w:r>
    </w:p>
    <w:p w:rsidR="002955EA" w:rsidRPr="005A7B7B" w:rsidRDefault="002955EA" w:rsidP="00F17546">
      <w:pPr>
        <w:pStyle w:val="SRTextnomal"/>
        <w:rPr>
          <w:rFonts w:cs="Arial"/>
        </w:rPr>
        <w:sectPr w:rsidR="002955EA" w:rsidRPr="005A7B7B" w:rsidSect="002955EA">
          <w:pgSz w:w="11906" w:h="16838" w:code="9"/>
          <w:pgMar w:top="1134" w:right="1134" w:bottom="1134" w:left="1134" w:header="709" w:footer="709" w:gutter="0"/>
          <w:cols w:space="397"/>
          <w:docGrid w:linePitch="360"/>
        </w:sectPr>
      </w:pPr>
    </w:p>
    <w:p w:rsidR="0036290E" w:rsidRPr="0036290E" w:rsidRDefault="0036290E" w:rsidP="00F17546">
      <w:pPr>
        <w:pStyle w:val="SRTextnomal"/>
        <w:rPr>
          <w:rFonts w:cs="Arial"/>
          <w:i/>
          <w:sz w:val="6"/>
          <w:szCs w:val="6"/>
        </w:rPr>
        <w:sectPr w:rsidR="0036290E" w:rsidRPr="0036290E" w:rsidSect="00187B06">
          <w:type w:val="continuous"/>
          <w:pgSz w:w="11906" w:h="16838" w:code="9"/>
          <w:pgMar w:top="1134" w:right="1134" w:bottom="1134" w:left="1134" w:header="709" w:footer="709" w:gutter="0"/>
          <w:cols w:space="397"/>
          <w:docGrid w:linePitch="360"/>
        </w:sectPr>
      </w:pPr>
    </w:p>
    <w:p w:rsidR="0068331C" w:rsidRPr="005A7B7B" w:rsidRDefault="002955EA" w:rsidP="00F17546">
      <w:pPr>
        <w:pStyle w:val="SRTextnomal"/>
        <w:rPr>
          <w:rFonts w:cs="Arial"/>
          <w:i/>
          <w:sz w:val="16"/>
          <w:szCs w:val="16"/>
        </w:rPr>
      </w:pPr>
      <w:r w:rsidRPr="005A7B7B">
        <w:rPr>
          <w:rFonts w:cs="Arial"/>
          <w:i/>
          <w:sz w:val="16"/>
          <w:szCs w:val="16"/>
        </w:rPr>
        <w:t>Poznámka: V letech 2024-2025 včetně příspěvku na úroky za makrofinanční pomoc Ukrajině (MFA+) = Macro-Financial Assistance + ve výši 0,3 mld. Kč.</w:t>
      </w:r>
    </w:p>
    <w:p w:rsidR="002955EA" w:rsidRPr="005A7B7B" w:rsidRDefault="002955EA" w:rsidP="00F17546">
      <w:pPr>
        <w:pStyle w:val="SRTextnomal"/>
        <w:rPr>
          <w:rFonts w:cs="Arial"/>
          <w:i/>
          <w:sz w:val="16"/>
          <w:szCs w:val="16"/>
        </w:rPr>
      </w:pPr>
    </w:p>
    <w:p w:rsidR="00041895" w:rsidRPr="005A7B7B" w:rsidRDefault="00041895" w:rsidP="00041895">
      <w:pPr>
        <w:rPr>
          <w:rFonts w:cs="Arial"/>
        </w:rPr>
        <w:sectPr w:rsidR="00041895" w:rsidRPr="005A7B7B" w:rsidSect="00187B06">
          <w:type w:val="continuous"/>
          <w:pgSz w:w="11906" w:h="16838" w:code="9"/>
          <w:pgMar w:top="1134" w:right="1134" w:bottom="1134" w:left="1134" w:header="709" w:footer="709" w:gutter="0"/>
          <w:cols w:space="397"/>
          <w:docGrid w:linePitch="360"/>
        </w:sectPr>
      </w:pPr>
    </w:p>
    <w:p w:rsidR="00426B75" w:rsidRDefault="002955EA" w:rsidP="00426B75">
      <w:pPr>
        <w:pStyle w:val="SRTextnomal"/>
      </w:pPr>
      <w:r w:rsidRPr="005A7B7B">
        <w:t>Výše uvedená tabulka zahrnuje plánované výdaje v souvislosti s odvody do EU a makrofinanční pomocí + pro Ukrajinu. Pro přípravu státního rozpočtu na rok 2025 byla pro výši vlastních zdrojů EU placených ze státního rozpočtu (tj. na zdroj dle DPH, zdroj dle HND, zdroj z nerecyklovaných plastových obalů a hrubé snížení zdrojů založených na HND) použita následující východiska:</w:t>
      </w:r>
    </w:p>
    <w:p w:rsidR="00DA3C61" w:rsidRPr="00DA3C61" w:rsidRDefault="002955EA" w:rsidP="002955EA">
      <w:pPr>
        <w:pStyle w:val="SRTextnomal"/>
        <w:keepNext/>
        <w:numPr>
          <w:ilvl w:val="0"/>
          <w:numId w:val="47"/>
        </w:numPr>
      </w:pPr>
      <w:r w:rsidRPr="005A7B7B">
        <w:rPr>
          <w:b/>
        </w:rPr>
        <w:t>V</w:t>
      </w:r>
      <w:r w:rsidR="00F6523A">
        <w:rPr>
          <w:b/>
        </w:rPr>
        <w:t>íceletý finanční rámec (VFR)</w:t>
      </w:r>
      <w:r w:rsidRPr="005A7B7B">
        <w:rPr>
          <w:b/>
        </w:rPr>
        <w:t xml:space="preserve"> 2021-2027 a systém vlastních zdrojů</w:t>
      </w:r>
      <w:r w:rsidRPr="005A7B7B">
        <w:t xml:space="preserve"> - odhad potřeb výše vlastních zdrojů Unie v roce 2025 vychází ze schváleného finančního rámce 2021-2027 </w:t>
      </w:r>
      <w:r w:rsidRPr="005A7B7B">
        <w:rPr>
          <w:rFonts w:cs="ArialMT"/>
        </w:rPr>
        <w:t>po jeho střednědobé revizi dohodnuté na začátku roku 2024 a platného systému vlastních zdrojů;</w:t>
      </w:r>
    </w:p>
    <w:p w:rsidR="002955EA" w:rsidRPr="005A7B7B" w:rsidRDefault="00F6523A" w:rsidP="002955EA">
      <w:pPr>
        <w:pStyle w:val="SRTextnomal"/>
        <w:keepNext/>
        <w:numPr>
          <w:ilvl w:val="0"/>
          <w:numId w:val="47"/>
        </w:numPr>
      </w:pPr>
      <w:r>
        <w:rPr>
          <w:b/>
        </w:rPr>
        <w:t xml:space="preserve">Vypořádání </w:t>
      </w:r>
      <w:r w:rsidR="002955EA" w:rsidRPr="005A7B7B">
        <w:rPr>
          <w:b/>
        </w:rPr>
        <w:t>zdroje z DPH a HND</w:t>
      </w:r>
      <w:r w:rsidR="002955EA" w:rsidRPr="005A7B7B">
        <w:t xml:space="preserve"> - dle nařízení Rady (EU, Euratom) 609/2014 v platném znění je (od roku 2024) prováděna úhrada vypořádání odvodů DPH a HND (doplatky/přeplatky dle skutečného vývoje, tzv. „balances“) do rozpočtu EU za předchozí roky v roce n+2. V roce 2025 tak budou odvody v rámci vypořádání zdroje z HND a DPH za rok 2022 a předchozí roky pro Českou republiku sníženy o 1,58</w:t>
      </w:r>
      <w:r w:rsidR="00B32015">
        <w:t> </w:t>
      </w:r>
      <w:r w:rsidR="002955EA" w:rsidRPr="005A7B7B">
        <w:t>mld. Kč</w:t>
      </w:r>
      <w:r w:rsidR="00DA3C61">
        <w:t>;</w:t>
      </w:r>
      <w:r w:rsidR="002955EA" w:rsidRPr="005A7B7B">
        <w:t xml:space="preserve"> </w:t>
      </w:r>
    </w:p>
    <w:p w:rsidR="002955EA" w:rsidRPr="005A7B7B" w:rsidRDefault="002955EA" w:rsidP="002955EA">
      <w:pPr>
        <w:pStyle w:val="SRTextnomal"/>
        <w:keepNext/>
        <w:numPr>
          <w:ilvl w:val="0"/>
          <w:numId w:val="47"/>
        </w:numPr>
      </w:pPr>
      <w:r w:rsidRPr="005A7B7B">
        <w:rPr>
          <w:b/>
        </w:rPr>
        <w:t>Vypořádání zdroje z nerecyklovaných plastových obalových odpadů</w:t>
      </w:r>
      <w:r w:rsidRPr="005A7B7B">
        <w:t xml:space="preserve"> - dle nařízení Rady (EU, Euratom) 2021/770 je (od roku 2024) prováděna úhrada vypořádání odvodů vlastního zdroje z nerecyklovaných plastových obalových odpadů (viz výše; tzv. „balances“) do rozpočtu EU za předchozí roky v roce n+1. V roce 2025 tak bude splatná rovněž čistá částka vypořádání odvodů v rámci vypořádání zdroje z nerecyklovaných plastových obalových odpadů za rok 2024 a předchozí roky, nicméně její výše pro Českou </w:t>
      </w:r>
      <w:r w:rsidR="00F6523A">
        <w:t xml:space="preserve">republiku </w:t>
      </w:r>
      <w:r w:rsidRPr="005A7B7B">
        <w:t>bude známa až na začátku roku 2025</w:t>
      </w:r>
      <w:r w:rsidRPr="005A7B7B">
        <w:rPr>
          <w:i/>
          <w:iCs/>
        </w:rPr>
        <w:t>;</w:t>
      </w:r>
      <w:r w:rsidRPr="005A7B7B">
        <w:t xml:space="preserve"> </w:t>
      </w:r>
    </w:p>
    <w:p w:rsidR="002955EA" w:rsidRPr="005A7B7B" w:rsidRDefault="002955EA" w:rsidP="002955EA">
      <w:pPr>
        <w:pStyle w:val="SROdrka1"/>
      </w:pPr>
      <w:r w:rsidRPr="005A7B7B">
        <w:t xml:space="preserve"> </w:t>
      </w:r>
      <w:r w:rsidRPr="005A7B7B">
        <w:rPr>
          <w:b/>
        </w:rPr>
        <w:t>Zpoždění v čerpání politik EU -</w:t>
      </w:r>
      <w:r w:rsidRPr="005A7B7B">
        <w:t xml:space="preserve"> v souvislosti s přetrvávajícím zpožděním v čerpání vybraných politik EU (zejména pak kohezní politiky) byl objem rozpočtu EU v platbách na rok 2024 výrazně nižší, ne</w:t>
      </w:r>
      <w:r w:rsidR="00F6523A">
        <w:t>ž umožňoval strop, rovněž návrh</w:t>
      </w:r>
      <w:r w:rsidRPr="005A7B7B">
        <w:t xml:space="preserve"> rozpočtu na rok 2025, který Komise předložila v červnu 2024, zůstává výrazně pod stropem, který umožňuje legislativa; </w:t>
      </w:r>
    </w:p>
    <w:p w:rsidR="002955EA" w:rsidRPr="005A7B7B" w:rsidRDefault="002955EA" w:rsidP="002955EA">
      <w:pPr>
        <w:pStyle w:val="SROdrka1"/>
      </w:pPr>
      <w:r w:rsidRPr="005A7B7B">
        <w:rPr>
          <w:b/>
        </w:rPr>
        <w:t>Zpomalení růstu HND</w:t>
      </w:r>
      <w:r w:rsidRPr="005A7B7B">
        <w:t xml:space="preserve"> - v souvislosti s novými odhady a daty se ukazuje, že relativně rychlejší růst HND ČR oproti průměru EU (daný primárně vyšším růstem cenové hladiny v ČR ve srovnání s EU a tím nominálním růstem HND a výběru DPH v posledních letech) se zpomalil, resp. zastavil, když se úroveň inflace dostala na cílové hodnoty a rovněž ekonomický růst patří mezi nejnižší v EU. Podíl ČR na financování rozpočtu EU se tak vrátil na původní trajektorii (z období před útočnou válkou na Ukrajině);</w:t>
      </w:r>
    </w:p>
    <w:p w:rsidR="002955EA" w:rsidRPr="005A7B7B" w:rsidRDefault="002955EA" w:rsidP="002955EA">
      <w:pPr>
        <w:pStyle w:val="SROdrka1"/>
      </w:pPr>
      <w:r w:rsidRPr="005A7B7B">
        <w:rPr>
          <w:b/>
        </w:rPr>
        <w:t>Mírně rostoucí příjem z cla</w:t>
      </w:r>
      <w:r w:rsidRPr="005A7B7B">
        <w:t xml:space="preserve"> - na základě nových odhadů Komise o výši vybraných cel se predikuje pro roky 2025-2027 relativně stabilní a jen mírně rostoucí příjem z tohoto zdroje, je nicméně samozřejmě nadále otázkou, jak se bude vyvíjet situace na Ukrajině a obchodní výměna EU s Ruskem, či jaký vliv bude mít celková geopolitická situace;</w:t>
      </w:r>
    </w:p>
    <w:p w:rsidR="002955EA" w:rsidRPr="005A7B7B" w:rsidRDefault="002955EA" w:rsidP="002955EA">
      <w:pPr>
        <w:pStyle w:val="SROdrka1"/>
      </w:pPr>
      <w:r w:rsidRPr="005A7B7B">
        <w:rPr>
          <w:b/>
        </w:rPr>
        <w:t>Úhrada části plateb Spojeným královstvím</w:t>
      </w:r>
      <w:r w:rsidRPr="005A7B7B">
        <w:t xml:space="preserve">  - Spojené království (UK) se nadále bude do roku 2025 podílet na úhradě části plateb vztahujících se k závazkům období 2014-2020, u kterých se UK může ještě podílet na jejich čerpání. Rok 2025 je posledním rokem, kdy tato úhrada proběhne;</w:t>
      </w:r>
    </w:p>
    <w:p w:rsidR="002955EA" w:rsidRPr="005A7B7B" w:rsidRDefault="002955EA" w:rsidP="002955EA">
      <w:pPr>
        <w:pStyle w:val="SROdrka1"/>
      </w:pPr>
      <w:r w:rsidRPr="005A7B7B">
        <w:rPr>
          <w:b/>
        </w:rPr>
        <w:t>Snižování ostatních příjmů EU v budoucnu</w:t>
      </w:r>
      <w:r w:rsidRPr="005A7B7B">
        <w:t xml:space="preserve"> - výše vlastních zdrojů EU hrazených z národních rozpočtů (zdroj z HND, zdroj z DPH, zdroj z plastů) všech členských zemí EU pokrývá v uvedeném období až 90 % celkové výše příjmů rozpočtu EU</w:t>
      </w:r>
      <w:r w:rsidRPr="005A7B7B">
        <w:rPr>
          <w:vertAlign w:val="superscript"/>
        </w:rPr>
        <w:footnoteReference w:id="2"/>
      </w:r>
      <w:r w:rsidRPr="005A7B7B">
        <w:t>; (nicméně na základě vývoje v posledních letech se očekává do budoucna spíše snižování příjmů z pokut (tj. ostatních příjmů), a tím další mírné navýšení odvodů dle HND hrazených ze státního rozpočtu);</w:t>
      </w:r>
    </w:p>
    <w:p w:rsidR="002955EA" w:rsidRPr="005A7B7B" w:rsidRDefault="002955EA" w:rsidP="002955EA">
      <w:pPr>
        <w:pStyle w:val="SROdrka1"/>
      </w:pPr>
      <w:r w:rsidRPr="005A7B7B">
        <w:t xml:space="preserve"> </w:t>
      </w:r>
      <w:r w:rsidRPr="005A7B7B">
        <w:rPr>
          <w:b/>
        </w:rPr>
        <w:t>Geopolitická situace</w:t>
      </w:r>
      <w:r w:rsidRPr="005A7B7B">
        <w:t xml:space="preserve"> - válka na Ukrajině přinesla jak oslabení ekonomického růstu tak i posílení inflačních tlaků ve všech zemích EU, aktuální geopolitická situace přináší i další nejistoty, což významně komplikuje odhady podílu odvodů jednotlivých členských států EU vč. ČR do rozpočtu EU, současně EU v reakci na situaci na Ukrajině přijala mj. v rámci střednědobé revize VFR finanční opatření, která </w:t>
      </w:r>
      <w:r w:rsidRPr="005A7B7B">
        <w:lastRenderedPageBreak/>
        <w:t xml:space="preserve">budou mít v letech 2025-2027 významný dopad na objem rozpočtu EU. S výraznějším růstem úrokových sazeb v nedávné době rovněž narůstají náklady na obsluhu výpůjček EU v rámci tzv. NGEU, přijatého jako reakce na pandemii COVID-19, které budou muset být rozpočtem EU hrazeny a jejichž výše zatím není známa. Tyto skutečnosti představují klíčové nejistoty, kvůli kterým se výše odvodů vlastních zdrojů ze státního rozpočtu </w:t>
      </w:r>
      <w:r w:rsidR="00396457">
        <w:t>ČR do rozpočtu EU v letech 2025</w:t>
      </w:r>
      <w:r w:rsidR="00396457">
        <w:noBreakHyphen/>
      </w:r>
      <w:r w:rsidRPr="005A7B7B">
        <w:t>2027 odhaduje velmi obtížně;</w:t>
      </w:r>
    </w:p>
    <w:p w:rsidR="00DD08B2" w:rsidRPr="005A7B7B" w:rsidRDefault="002955EA" w:rsidP="00DA7DFC">
      <w:pPr>
        <w:pStyle w:val="SRTextnomal"/>
      </w:pPr>
      <w:r w:rsidRPr="005A7B7B">
        <w:rPr>
          <w:b/>
        </w:rPr>
        <w:t>Makrofinanční pomoc+ pro Ukrajinu</w:t>
      </w:r>
      <w:r w:rsidRPr="005A7B7B">
        <w:t xml:space="preserve"> na rok 2023 byla schválena v prosinci 2022. V průběhu roku 2023 EU postupně poskytla Ukrajině půjčky ve výši 18 mld. EUR. </w:t>
      </w:r>
      <w:r w:rsidRPr="005A7B7B">
        <w:t>MFA+ byla financována půjčkou, kterou jménem EU sjednala a zajistila Evropská komise. Nařízení o MFA+ stanovuje také možnost subvence úrokových sazeb a pokrytí správních nákladů, pokud o to Ukrajina požádá. Ve společném prohlášení se členské státy zavázaly poskytnout příspěvky na úroky dle klíče daného podílem na hrubém národním důchodu (HND). K tomu účelu měly členské státy do 30. června 2023 uzavřít s Komisí tzv. Dohody o přiznání příspěvku (Contribution agreement). Dle Dohody o přiznání příspěvku, kterou ČR podepsala 30. června 2023, připadá na ČR dle klíče HND z roku 2022 dodatečná výše příspěvků ve výši celkem 47,8 mil. EUR (tj. zhruba 1,2 mld. Kč) v letech 2024–2027,</w:t>
      </w:r>
      <w:r w:rsidR="00396457">
        <w:t xml:space="preserve"> tj. zhruba 12 mil. EUR ročně,</w:t>
      </w:r>
      <w:r w:rsidRPr="005A7B7B">
        <w:t xml:space="preserve"> což odpovídá částce cca 300 mil. Kč.</w:t>
      </w:r>
    </w:p>
    <w:p w:rsidR="00041895" w:rsidRPr="005A7B7B" w:rsidRDefault="00041895" w:rsidP="006A138C">
      <w:pPr>
        <w:pStyle w:val="SROdrka1"/>
        <w:sectPr w:rsidR="00041895" w:rsidRPr="005A7B7B" w:rsidSect="00187B06">
          <w:type w:val="continuous"/>
          <w:pgSz w:w="11906" w:h="16838" w:code="9"/>
          <w:pgMar w:top="1134" w:right="1134" w:bottom="1134" w:left="1134" w:header="709" w:footer="709" w:gutter="0"/>
          <w:cols w:num="2" w:space="397"/>
          <w:docGrid w:linePitch="360"/>
        </w:sectPr>
      </w:pPr>
    </w:p>
    <w:p w:rsidR="009449E5" w:rsidRPr="005A7B7B" w:rsidRDefault="007E2D90" w:rsidP="00671AAF">
      <w:pPr>
        <w:pStyle w:val="SRNadpis3"/>
      </w:pPr>
      <w:bookmarkStart w:id="212" w:name="_Toc175913921"/>
      <w:bookmarkEnd w:id="207"/>
      <w:r w:rsidRPr="005A7B7B">
        <w:t>Výdaje na programy podporované z rozpočtu EU a finančních mechanismů</w:t>
      </w:r>
      <w:bookmarkEnd w:id="212"/>
    </w:p>
    <w:p w:rsidR="00742B45" w:rsidRPr="005A7B7B" w:rsidRDefault="00742B45" w:rsidP="00742B45">
      <w:pPr>
        <w:sectPr w:rsidR="00742B45" w:rsidRPr="005A7B7B" w:rsidSect="00187B06">
          <w:type w:val="continuous"/>
          <w:pgSz w:w="11906" w:h="16838" w:code="9"/>
          <w:pgMar w:top="1134" w:right="1134" w:bottom="1134" w:left="1134" w:header="709" w:footer="709" w:gutter="0"/>
          <w:cols w:space="397"/>
          <w:docGrid w:linePitch="360"/>
        </w:sectPr>
      </w:pPr>
    </w:p>
    <w:p w:rsidR="00E54679" w:rsidRPr="005A7B7B" w:rsidRDefault="00E54679" w:rsidP="00E54679">
      <w:pPr>
        <w:pStyle w:val="SRTextnomal"/>
      </w:pPr>
      <w:bookmarkStart w:id="213" w:name="_Toc80264027"/>
      <w:r w:rsidRPr="005A7B7B">
        <w:t>Faktory, které ovlivnily výši plánovaných prostředků za oblast EU/FM lze rozdělit na rozpočtové a celosvětové.</w:t>
      </w:r>
    </w:p>
    <w:p w:rsidR="00E54679" w:rsidRPr="005A7B7B" w:rsidRDefault="00E54679" w:rsidP="00E54679">
      <w:pPr>
        <w:pStyle w:val="SRTextnomal"/>
      </w:pPr>
      <w:r w:rsidRPr="005A7B7B">
        <w:t>Státní rozpočet hraje ve financování programů/projektů spolufinancovaných z rozpočtu EU a finančních mechanismů významnou roli. Výdaje na financování evropských politik a finančních mechanismů jsou ve většině případů nejdříve realizovány ze státního rozpočtu a poté vyrovnány platbami z rozpočtu EU/FM. Zbývající část připadá na národní spolufinancování, jehož je státní rozpočet klíčovým zdrojem. Poměr podílu výdajů krytých z rozpočtu EU/FM a podílu spolufinancování ze státního rozpočtu může ovlivňovat typ příjemců, jejich činnosti i kategorie regionů (méně rozvinuté, rozvinutější) jako je tomu například u fondů EU respektive Evropských strukturálních a investičních fondů v rámci politiky soudržnosti.</w:t>
      </w:r>
    </w:p>
    <w:p w:rsidR="00E54679" w:rsidRPr="005A7B7B" w:rsidRDefault="00E54679" w:rsidP="00E54679">
      <w:pPr>
        <w:pStyle w:val="SRTextnomal"/>
      </w:pPr>
      <w:r w:rsidRPr="005A7B7B">
        <w:t xml:space="preserve">Pro rok 2025 byl základní princip rovnosti rozpočtovaných výdajů krytých příjmy z rozpočtu EU/FM dodržen. Obecně tento princip vnáší do hotovostně sestavovaného rozpočtu akruální prvek. Hotovostní plnění státního rozpočtu je touto skutečností ovlivněno jak kladně, tak záporně. Záleží na tom, v jaké fázi víceletého finančního rámce se nacházíme. Z těchto důvodů bylo již ve Státním závěrečném účtu od roku 2016 a v měsíčním plnění od roku 2017 zavedeno saldo očistěné o vliv EU/FM. </w:t>
      </w:r>
    </w:p>
    <w:p w:rsidR="00E54679" w:rsidRPr="005A7B7B" w:rsidRDefault="00E54679" w:rsidP="00E54679">
      <w:pPr>
        <w:pStyle w:val="SRTextnomal"/>
      </w:pPr>
      <w:r w:rsidRPr="005A7B7B">
        <w:t xml:space="preserve">Protože je státní rozpočet schvalován každoročně, plánované prostředky by měly být také vyčerpány. Tvorba nevyčerpaných rezerv ve formě nároků </w:t>
      </w:r>
      <w:r w:rsidR="002C4E08">
        <w:t xml:space="preserve">z nespotřebovaných výdajů </w:t>
      </w:r>
      <w:r w:rsidRPr="005A7B7B">
        <w:t xml:space="preserve">je povolena, ale </w:t>
      </w:r>
      <w:r w:rsidR="00BF5175">
        <w:t>zvyšování nárokových</w:t>
      </w:r>
      <w:r w:rsidRPr="005A7B7B">
        <w:t xml:space="preserve"> prostředků není žádoucí. Každý návrh státního rozpočtu musí s touto rezervou počítat a předcházet zkreslování plánu nereálnými představami o skutečném čerpání. Výše nároků z nespotřebovaných výdajů a dosavadní čerpání tak byl jeden z hlavních rozpočtových faktorů, vstupujících do rozhodování o plánování prostředků. Dalším jsou fá</w:t>
      </w:r>
      <w:r w:rsidR="003E7D2B">
        <w:t>ze víceletého finančního rámce.</w:t>
      </w:r>
    </w:p>
    <w:p w:rsidR="00E54679" w:rsidRPr="005A7B7B" w:rsidRDefault="00E54679" w:rsidP="00E54679">
      <w:pPr>
        <w:pStyle w:val="SRTextnomal"/>
      </w:pPr>
      <w:r w:rsidRPr="005A7B7B">
        <w:t xml:space="preserve">V souvislosti se schválením přechodného období na léta 2021 a 2022 pro společnou zemědělskou politiku  došlo k navýšení alokace Programu rozvoje venkova. Prostředky jsou již čerpány z víceletého finančního rámce 2021-2027 </w:t>
      </w:r>
      <w:r w:rsidRPr="005A7B7B">
        <w:t xml:space="preserve">ale dle pravidel SZP 2014-2020. Způsobilost výdajů realizovaných příjemci byla prodloužena do 31. 12. 2025. Prostředky na společnou zemědělskou politiku představují 99% celkových výdajů na </w:t>
      </w:r>
      <w:r w:rsidR="00396457">
        <w:rPr>
          <w:b/>
        </w:rPr>
        <w:t>aktivity VFR 2014</w:t>
      </w:r>
      <w:r w:rsidR="00396457">
        <w:rPr>
          <w:b/>
        </w:rPr>
        <w:noBreakHyphen/>
      </w:r>
      <w:r w:rsidRPr="005A7B7B">
        <w:rPr>
          <w:b/>
        </w:rPr>
        <w:t>2020</w:t>
      </w:r>
      <w:r w:rsidRPr="005A7B7B">
        <w:t xml:space="preserve"> v roce 2025. </w:t>
      </w:r>
    </w:p>
    <w:p w:rsidR="00E54679" w:rsidRPr="005A7B7B" w:rsidRDefault="00E54679" w:rsidP="00396457">
      <w:pPr>
        <w:pStyle w:val="SRTextnomal"/>
      </w:pPr>
      <w:r w:rsidRPr="005A7B7B">
        <w:t xml:space="preserve">Hlavní oblast výdajů krytých příjmy z rozpočtu EU je soustředěna v roce 2025 na </w:t>
      </w:r>
      <w:r w:rsidRPr="00396457">
        <w:t>realizaci</w:t>
      </w:r>
      <w:r w:rsidRPr="005A7B7B">
        <w:t xml:space="preserve"> politiky soudržnosti, společné zemědělské politiky a Národního plánu obnovy </w:t>
      </w:r>
      <w:r w:rsidRPr="005A7B7B">
        <w:rPr>
          <w:b/>
        </w:rPr>
        <w:t>víceletého finančního rámce 2021-2027.</w:t>
      </w:r>
    </w:p>
    <w:p w:rsidR="00E54679" w:rsidRPr="00396457" w:rsidRDefault="00E54679" w:rsidP="00396457">
      <w:pPr>
        <w:pStyle w:val="SRTextnomal"/>
      </w:pPr>
    </w:p>
    <w:p w:rsidR="00E54679" w:rsidRPr="005A7B7B" w:rsidRDefault="00E54679" w:rsidP="00E54679">
      <w:pPr>
        <w:pStyle w:val="SRTextnomal"/>
      </w:pPr>
      <w:r w:rsidRPr="005A7B7B">
        <w:t>S ohledem na výše uvedené se celkově zvýšily výdaje na oblast EU vč. podílu státního rozpočtu v porovnání s předchozím rokem o 35,7 mld. Kč na 173,7</w:t>
      </w:r>
      <w:r w:rsidR="00BF5175">
        <w:t> </w:t>
      </w:r>
      <w:r w:rsidRPr="005A7B7B">
        <w:t>mld. Kč. Celkové výdaje na VFR 2014-2020 se v roce 2025 v porovnání s rokem 2024 snížily o 9 mld. Kč. Celkové výdaje na VFR 2021-2027 se v roce 2025 v porovnání s rokem 2024 zvýšily o 44,7 mld. Kč.</w:t>
      </w:r>
    </w:p>
    <w:p w:rsidR="006F6F34" w:rsidRPr="005A7B7B" w:rsidRDefault="00E54679" w:rsidP="002E7910">
      <w:pPr>
        <w:pStyle w:val="SRTextnomal"/>
      </w:pPr>
      <w:r w:rsidRPr="005A7B7B">
        <w:t xml:space="preserve">Z věcného hlediska lze říci, že řešení dopadů pandemie covidu-19 a uprchlické krize v souvislosti s válečným konfliktem na Ukrajině prostupuje hlavními cíli politik EU. Těmi jsou digitalizovaná, klimaticky neutrální a genderově vyvážená Evropa kladoucí důraz na obnovitelné zdroje, ekologické zemědělství šetrné pro životní prostředí, vzdělání, inovace a podobně. Tyto cíle EU naplňují programy politiky soudržnosti, společné zemědělské politiky a oblasti vnitřních věcí v režimu sdíleného řízení vedle přímo či nepřímo řízených programů EU jako je například Life, Nástroj pro propojení Evropy, Erasmus nebo Nástroj pro oživení a odolnost. Objemově i spektrem zaměření je z přímo řízených programů EU nejvýznamnější Nástroj pro oživení a odolnost, který financuje Národní plán obnovy. Obecně je zaměřen na obnovu trhu práce, sociální ochranu a systémy zdravotní péče, oživení potenciálu pro udržitelný růst a zaměstnanost, transformaci na zelenou a digitální ekonomiku, výzkum a inovace, podporu zemědělství a rozvoje venkova. V roce 2025 je Národní plán obnovy plánován v 22 kapitolách především v oblastech modernizace služeb zaměstnanosti a rozvoj trhu práce digitálních systémů veřejné správy, snižování spotřeby energie ve veřejném sektoru, přechodu na čistší zdroje </w:t>
      </w:r>
      <w:r w:rsidRPr="005A7B7B">
        <w:lastRenderedPageBreak/>
        <w:t xml:space="preserve">energie, adaptace kapacity a zaměření školních programů, digitální vysokokapacitní sítě apod. viz následující graf. V příloze č. 2 této Zprávy je uvedena tabulka Národní plán obnovy v detailu na komponenty, kapitoly a dělení na běžné a kapitálové výdaje. V naprosté </w:t>
      </w:r>
      <w:r w:rsidRPr="005A7B7B">
        <w:t>většině jsou prostředky na realizaci Národního plánu obnovy kryty příjmy z rozpočtu EU, pouze 5,3 mil. Kč je rozpočtováno v části výdajů krytých zápůjčkou na komponentu Dostupné bydlení v kapitole Ministerstvo pro místní rozvoj.</w:t>
      </w:r>
    </w:p>
    <w:p w:rsidR="006F69CF" w:rsidRPr="005A7B7B" w:rsidRDefault="006F69CF" w:rsidP="006F69CF">
      <w:pPr>
        <w:spacing w:after="0"/>
        <w:sectPr w:rsidR="006F69CF" w:rsidRPr="005A7B7B" w:rsidSect="00187B06">
          <w:type w:val="continuous"/>
          <w:pgSz w:w="11906" w:h="16838" w:code="9"/>
          <w:pgMar w:top="1134" w:right="1134" w:bottom="1134" w:left="1134" w:header="709" w:footer="709" w:gutter="0"/>
          <w:cols w:num="2" w:space="397"/>
          <w:docGrid w:linePitch="360"/>
        </w:sectPr>
      </w:pPr>
    </w:p>
    <w:p w:rsidR="00335E1B" w:rsidRPr="005A7B7B" w:rsidRDefault="00335E1B" w:rsidP="00335E1B">
      <w:pPr>
        <w:pStyle w:val="Titulek"/>
        <w:rPr>
          <w:i/>
        </w:rPr>
      </w:pPr>
      <w:bookmarkStart w:id="214" w:name="_Toc175913977"/>
      <w:bookmarkEnd w:id="213"/>
      <w:r w:rsidRPr="005A7B7B">
        <w:t xml:space="preserve">Graf </w:t>
      </w:r>
      <w:fldSimple w:instr=" SEQ Graf \* ARABIC ">
        <w:r w:rsidR="0010122A">
          <w:rPr>
            <w:noProof/>
          </w:rPr>
          <w:t>23</w:t>
        </w:r>
      </w:fldSimple>
      <w:r w:rsidRPr="005A7B7B">
        <w:t xml:space="preserve"> NPO celkem dle komponent</w:t>
      </w:r>
      <w:r w:rsidR="00BE2133">
        <w:t xml:space="preserve"> - kryto příjmem z RRF</w:t>
      </w:r>
      <w:r w:rsidRPr="005A7B7B">
        <w:t xml:space="preserve"> </w:t>
      </w:r>
      <w:r w:rsidRPr="005A7B7B">
        <w:rPr>
          <w:i/>
        </w:rPr>
        <w:t>(v mil. Kč)</w:t>
      </w:r>
      <w:bookmarkEnd w:id="214"/>
    </w:p>
    <w:p w:rsidR="00E54679" w:rsidRPr="005A7B7B" w:rsidRDefault="00375E48" w:rsidP="00396457">
      <w:pPr>
        <w:pStyle w:val="SRTextnomal"/>
      </w:pPr>
      <w:r w:rsidRPr="005A7B7B">
        <w:rPr>
          <w:noProof/>
        </w:rPr>
        <w:drawing>
          <wp:inline distT="0" distB="0" distL="0" distR="0">
            <wp:extent cx="5695950" cy="2581910"/>
            <wp:effectExtent l="0" t="0" r="0" b="0"/>
            <wp:docPr id="278"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95950" cy="2581910"/>
                    </a:xfrm>
                    <a:prstGeom prst="rect">
                      <a:avLst/>
                    </a:prstGeom>
                    <a:noFill/>
                  </pic:spPr>
                </pic:pic>
              </a:graphicData>
            </a:graphic>
          </wp:inline>
        </w:drawing>
      </w:r>
    </w:p>
    <w:p w:rsidR="00CC4C03" w:rsidRPr="005A7B7B" w:rsidRDefault="00CC4C03" w:rsidP="00396457">
      <w:pPr>
        <w:pStyle w:val="SRTextnomal"/>
        <w:sectPr w:rsidR="00CC4C03" w:rsidRPr="005A7B7B" w:rsidSect="00187B06">
          <w:type w:val="continuous"/>
          <w:pgSz w:w="11906" w:h="16838" w:code="9"/>
          <w:pgMar w:top="1134" w:right="1134" w:bottom="1134" w:left="1134" w:header="709" w:footer="709" w:gutter="0"/>
          <w:cols w:space="397"/>
          <w:docGrid w:linePitch="360"/>
        </w:sectPr>
      </w:pPr>
    </w:p>
    <w:p w:rsidR="0036290E" w:rsidRDefault="0036290E" w:rsidP="00335E1B">
      <w:pPr>
        <w:pStyle w:val="ZKPoznpodarou"/>
        <w:rPr>
          <w:rFonts w:cs="Calibri"/>
          <w:i/>
          <w:iCs/>
        </w:rPr>
        <w:sectPr w:rsidR="0036290E" w:rsidSect="00187B06">
          <w:type w:val="continuous"/>
          <w:pgSz w:w="11906" w:h="16838" w:code="9"/>
          <w:pgMar w:top="1134" w:right="1134" w:bottom="1134" w:left="1134" w:header="709" w:footer="709" w:gutter="0"/>
          <w:cols w:space="397"/>
          <w:docGrid w:linePitch="360"/>
        </w:sectPr>
      </w:pPr>
    </w:p>
    <w:p w:rsidR="00534712" w:rsidRPr="005A7B7B" w:rsidRDefault="00534712" w:rsidP="00335E1B">
      <w:pPr>
        <w:pStyle w:val="ZKPoznpodarou"/>
        <w:rPr>
          <w:rFonts w:cs="Calibri"/>
          <w:i/>
          <w:iCs/>
        </w:rPr>
      </w:pPr>
    </w:p>
    <w:p w:rsidR="00534712" w:rsidRPr="005A7B7B" w:rsidRDefault="00534712" w:rsidP="00335E1B">
      <w:pPr>
        <w:pStyle w:val="ZKPoznpodarou"/>
        <w:rPr>
          <w:rFonts w:cs="Calibri"/>
          <w:i/>
          <w:iCs/>
        </w:rPr>
        <w:sectPr w:rsidR="00534712" w:rsidRPr="005A7B7B" w:rsidSect="00187B06">
          <w:type w:val="continuous"/>
          <w:pgSz w:w="11906" w:h="16838" w:code="9"/>
          <w:pgMar w:top="1134" w:right="1134" w:bottom="1134" w:left="1134" w:header="709" w:footer="709" w:gutter="0"/>
          <w:cols w:space="397"/>
          <w:docGrid w:linePitch="360"/>
        </w:sectPr>
      </w:pPr>
    </w:p>
    <w:p w:rsidR="00DF324C" w:rsidRDefault="00DF324C" w:rsidP="00396457">
      <w:pPr>
        <w:pStyle w:val="SRTextnomal"/>
      </w:pPr>
      <w:r>
        <w:t>V</w:t>
      </w:r>
      <w:r w:rsidR="00CC4C03" w:rsidRPr="005A7B7B">
        <w:t xml:space="preserve">íceletému </w:t>
      </w:r>
      <w:r w:rsidR="00CC4C03" w:rsidRPr="00396457">
        <w:t>finančnímu</w:t>
      </w:r>
      <w:r w:rsidR="00CC4C03" w:rsidRPr="005A7B7B">
        <w:t xml:space="preserve"> rámci 2014-2020 dominuje Program rozvoje venkova, který je rozpočtován ve výši 3,8</w:t>
      </w:r>
      <w:r>
        <w:t> mld. Kč, přičemž na a ostatní programy připadá již jen 56,7 mil. Kč.</w:t>
      </w:r>
      <w:r w:rsidR="00CC4C03" w:rsidRPr="005A7B7B">
        <w:t xml:space="preserve"> </w:t>
      </w:r>
    </w:p>
    <w:p w:rsidR="00534712" w:rsidRPr="005A7B7B" w:rsidRDefault="00DF324C" w:rsidP="00396457">
      <w:pPr>
        <w:pStyle w:val="SRTextnomal"/>
        <w:rPr>
          <w:b/>
        </w:rPr>
      </w:pPr>
      <w:r>
        <w:t>V</w:t>
      </w:r>
      <w:r w:rsidR="00CC4C03" w:rsidRPr="005A7B7B">
        <w:t>e VFR 2021-2027 jsou prostředky z jedné čtvrtiny soustředěny v Národním plánu obnovy v celkové výši 43,4 mld. Kč. Další objemově významné programy prezentuj</w:t>
      </w:r>
      <w:r>
        <w:t>e</w:t>
      </w:r>
      <w:r w:rsidR="00CC4C03" w:rsidRPr="005A7B7B">
        <w:t xml:space="preserve"> níže</w:t>
      </w:r>
      <w:r>
        <w:t xml:space="preserve"> uvedený graf.</w:t>
      </w:r>
    </w:p>
    <w:p w:rsidR="00534712" w:rsidRPr="005A7B7B" w:rsidRDefault="00534712" w:rsidP="00534712">
      <w:pPr>
        <w:spacing w:after="0"/>
        <w:sectPr w:rsidR="00534712" w:rsidRPr="005A7B7B" w:rsidSect="00187B06">
          <w:type w:val="continuous"/>
          <w:pgSz w:w="11906" w:h="16838" w:code="9"/>
          <w:pgMar w:top="1134" w:right="1134" w:bottom="1134" w:left="1134" w:header="709" w:footer="709" w:gutter="0"/>
          <w:cols w:num="2" w:space="397"/>
          <w:docGrid w:linePitch="360"/>
        </w:sectPr>
      </w:pPr>
    </w:p>
    <w:p w:rsidR="00335E1B" w:rsidRPr="005A7B7B" w:rsidRDefault="00335E1B" w:rsidP="0036290E">
      <w:pPr>
        <w:pStyle w:val="SRTitulek1"/>
        <w:keepNext w:val="0"/>
        <w:keepLines w:val="0"/>
      </w:pPr>
    </w:p>
    <w:p w:rsidR="00335E1B" w:rsidRPr="005A7B7B" w:rsidRDefault="00335E1B" w:rsidP="0036290E">
      <w:pPr>
        <w:pStyle w:val="SRTitulek1"/>
        <w:keepNext w:val="0"/>
        <w:keepLines w:val="0"/>
        <w:sectPr w:rsidR="00335E1B" w:rsidRPr="005A7B7B" w:rsidSect="00187B06">
          <w:type w:val="continuous"/>
          <w:pgSz w:w="11906" w:h="16838" w:code="9"/>
          <w:pgMar w:top="1134" w:right="1134" w:bottom="1134" w:left="1134" w:header="709" w:footer="709" w:gutter="0"/>
          <w:cols w:space="397"/>
          <w:docGrid w:linePitch="360"/>
        </w:sectPr>
      </w:pPr>
    </w:p>
    <w:p w:rsidR="00BD6C46" w:rsidRPr="005A7B7B" w:rsidRDefault="00BD6C46" w:rsidP="000D440D">
      <w:pPr>
        <w:pStyle w:val="SRTitulek1"/>
        <w:rPr>
          <w:i/>
        </w:rPr>
      </w:pPr>
      <w:bookmarkStart w:id="215" w:name="_Toc175913978"/>
      <w:r w:rsidRPr="005A7B7B">
        <w:t xml:space="preserve">Graf </w:t>
      </w:r>
      <w:fldSimple w:instr=" SEQ Graf \* ARABIC ">
        <w:r w:rsidR="0010122A">
          <w:rPr>
            <w:noProof/>
          </w:rPr>
          <w:t>24</w:t>
        </w:r>
      </w:fldSimple>
      <w:r w:rsidRPr="005A7B7B">
        <w:t xml:space="preserve"> </w:t>
      </w:r>
      <w:r w:rsidR="00F8440C" w:rsidRPr="005A7B7B">
        <w:t>Přehled o programech/projektec</w:t>
      </w:r>
      <w:r w:rsidR="00CC4C03" w:rsidRPr="005A7B7B">
        <w:t>h EU (vč. podílu SR) v roce 2025</w:t>
      </w:r>
      <w:r w:rsidR="00F8440C" w:rsidRPr="005A7B7B">
        <w:t xml:space="preserve"> – VFR 2021-2027 </w:t>
      </w:r>
      <w:r w:rsidR="00F8440C" w:rsidRPr="005A7B7B">
        <w:rPr>
          <w:i/>
        </w:rPr>
        <w:t>(v mil. Kč)</w:t>
      </w:r>
      <w:bookmarkEnd w:id="215"/>
    </w:p>
    <w:p w:rsidR="00CC4C03" w:rsidRPr="00396457" w:rsidRDefault="00375E48" w:rsidP="00396457">
      <w:pPr>
        <w:pStyle w:val="SRTextnomal"/>
      </w:pPr>
      <w:r w:rsidRPr="00396457">
        <w:rPr>
          <w:noProof/>
        </w:rPr>
        <w:drawing>
          <wp:inline distT="0" distB="0" distL="0" distR="0">
            <wp:extent cx="5922010" cy="3537585"/>
            <wp:effectExtent l="0" t="0" r="0" b="0"/>
            <wp:docPr id="28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22010" cy="3537585"/>
                    </a:xfrm>
                    <a:prstGeom prst="rect">
                      <a:avLst/>
                    </a:prstGeom>
                    <a:noFill/>
                  </pic:spPr>
                </pic:pic>
              </a:graphicData>
            </a:graphic>
          </wp:inline>
        </w:drawing>
      </w:r>
    </w:p>
    <w:p w:rsidR="00B51F9B" w:rsidRPr="00396457" w:rsidRDefault="00B51F9B" w:rsidP="00396457">
      <w:pPr>
        <w:pStyle w:val="SRTextnomal"/>
        <w:sectPr w:rsidR="00B51F9B" w:rsidRPr="00396457" w:rsidSect="00187B06">
          <w:type w:val="continuous"/>
          <w:pgSz w:w="11906" w:h="16838" w:code="9"/>
          <w:pgMar w:top="1134" w:right="1134" w:bottom="1134" w:left="1134" w:header="709" w:footer="709" w:gutter="0"/>
          <w:cols w:space="397"/>
          <w:docGrid w:linePitch="360"/>
        </w:sectPr>
      </w:pPr>
    </w:p>
    <w:p w:rsidR="00B51F9B" w:rsidRPr="00396457" w:rsidRDefault="00B51F9B" w:rsidP="00396457">
      <w:pPr>
        <w:pStyle w:val="SRTextnomal"/>
      </w:pPr>
    </w:p>
    <w:p w:rsidR="00B51F9B" w:rsidRPr="005A7B7B" w:rsidRDefault="00B51F9B" w:rsidP="00B51F9B">
      <w:pPr>
        <w:pStyle w:val="SRTextnomal"/>
      </w:pPr>
    </w:p>
    <w:p w:rsidR="00B51F9B" w:rsidRPr="005A7B7B" w:rsidRDefault="00B51F9B" w:rsidP="00B51F9B">
      <w:pPr>
        <w:pStyle w:val="SRTextnomal"/>
        <w:sectPr w:rsidR="00B51F9B" w:rsidRPr="005A7B7B" w:rsidSect="00B51F9B">
          <w:type w:val="continuous"/>
          <w:pgSz w:w="11906" w:h="16838" w:code="9"/>
          <w:pgMar w:top="1134" w:right="1134" w:bottom="1134" w:left="1134" w:header="709" w:footer="709" w:gutter="0"/>
          <w:cols w:space="397"/>
          <w:docGrid w:linePitch="360"/>
        </w:sectPr>
      </w:pPr>
    </w:p>
    <w:p w:rsidR="00B51F9B" w:rsidRPr="005A7B7B" w:rsidRDefault="00B51F9B" w:rsidP="00396457">
      <w:pPr>
        <w:pStyle w:val="SRTextnomal"/>
      </w:pPr>
      <w:r w:rsidRPr="005A7B7B">
        <w:t xml:space="preserve">V roce 2025 budou v rámci </w:t>
      </w:r>
      <w:r w:rsidRPr="005A7B7B">
        <w:rPr>
          <w:b/>
          <w:bCs/>
        </w:rPr>
        <w:t>finančních mechanismů</w:t>
      </w:r>
      <w:r w:rsidRPr="005A7B7B">
        <w:t xml:space="preserve">, tj. v rámci Finančních mechanismů EHP a Norska a Programu švýcarsko-české spolupráce 2, čerpány jak výdaje spojené s koordinací a řízením na národní úrovni, tak výdaje na řízení programů a financování jednotlivých schválených projektů, zejména v Programu švýcarsko-české spolupráce 2. ČR je zavázána zajistit z národních zdrojů (tj. státního rozpočtu) 15 % spolufinancování všech výdajů na úrovni jednotlivých programů. Tento fakt má vliv na výši prostředků určených na spolufinancování ze </w:t>
      </w:r>
      <w:r w:rsidRPr="005A7B7B">
        <w:t xml:space="preserve">státního rozpočtu. Celkem je v roce 2025 narozpočtována částka 445,6 mil. Kč. Z toho státní rozpočet tyto aktivity spolufinancuje ve výši 73,4 mil. Kč a zbytek 372,1 mil. Kč jsou výdaje, které jsou v rozpočtu kryty příjmy z finančních mechanismů. V porovnání s rokem 2024 jsou celkové výdaje vč. podílu státního rozpočtu </w:t>
      </w:r>
      <w:r w:rsidR="00BE2133">
        <w:t>o 250 mil. Kč</w:t>
      </w:r>
      <w:r w:rsidRPr="005A7B7B">
        <w:t xml:space="preserve"> vyšší. Důvodem zvýšení plánovaných prostředků pro rok 2025 je plné zahájení Programu švýcarsko-české spolupráce. Následující tabulka shrnuje výše popsané.</w:t>
      </w:r>
    </w:p>
    <w:p w:rsidR="00B51F9B" w:rsidRPr="005A7B7B" w:rsidRDefault="00B51F9B" w:rsidP="00B51F9B">
      <w:pPr>
        <w:spacing w:after="0"/>
        <w:sectPr w:rsidR="00B51F9B" w:rsidRPr="005A7B7B" w:rsidSect="00187B06">
          <w:type w:val="continuous"/>
          <w:pgSz w:w="11906" w:h="16838" w:code="9"/>
          <w:pgMar w:top="1134" w:right="1134" w:bottom="1134" w:left="1134" w:header="709" w:footer="709" w:gutter="0"/>
          <w:cols w:num="2" w:space="397"/>
          <w:docGrid w:linePitch="360"/>
        </w:sectPr>
      </w:pPr>
    </w:p>
    <w:p w:rsidR="00B51F9B" w:rsidRPr="005A7B7B" w:rsidRDefault="00B51F9B" w:rsidP="00B51F9B">
      <w:pPr>
        <w:pStyle w:val="SRTitulek1"/>
        <w:rPr>
          <w:i/>
        </w:rPr>
      </w:pPr>
      <w:bookmarkStart w:id="216" w:name="_Toc175913954"/>
      <w:r w:rsidRPr="005A7B7B">
        <w:t xml:space="preserve">Tabulka </w:t>
      </w:r>
      <w:fldSimple w:instr=" SEQ Tabulka \* ARABIC ">
        <w:r w:rsidR="0010122A">
          <w:rPr>
            <w:noProof/>
          </w:rPr>
          <w:t>32</w:t>
        </w:r>
      </w:fldSimple>
      <w:r w:rsidRPr="005A7B7B">
        <w:t xml:space="preserve"> Porovnání výdajů za oblast EU/FM </w:t>
      </w:r>
      <w:r w:rsidRPr="005A7B7B">
        <w:rPr>
          <w:i/>
        </w:rPr>
        <w:t>(v mil. Kč)</w:t>
      </w:r>
      <w:bookmarkEnd w:id="216"/>
    </w:p>
    <w:p w:rsidR="00B51F9B" w:rsidRPr="00396457" w:rsidRDefault="00375E48" w:rsidP="00396457">
      <w:pPr>
        <w:pStyle w:val="SRTextnomal"/>
      </w:pPr>
      <w:r w:rsidRPr="00396457">
        <w:rPr>
          <w:noProof/>
        </w:rPr>
        <w:drawing>
          <wp:inline distT="0" distB="0" distL="0" distR="0">
            <wp:extent cx="6115050" cy="452437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4524375"/>
                    </a:xfrm>
                    <a:prstGeom prst="rect">
                      <a:avLst/>
                    </a:prstGeom>
                    <a:noFill/>
                    <a:ln>
                      <a:noFill/>
                    </a:ln>
                  </pic:spPr>
                </pic:pic>
              </a:graphicData>
            </a:graphic>
          </wp:inline>
        </w:drawing>
      </w:r>
    </w:p>
    <w:p w:rsidR="00B51F9B" w:rsidRPr="00396457" w:rsidRDefault="00B51F9B" w:rsidP="00396457">
      <w:pPr>
        <w:pStyle w:val="SRTextnomal"/>
      </w:pPr>
    </w:p>
    <w:p w:rsidR="00CC4C03" w:rsidRPr="00396457" w:rsidRDefault="00CC4C03" w:rsidP="00396457">
      <w:pPr>
        <w:pStyle w:val="SRTextnomal"/>
        <w:sectPr w:rsidR="00CC4C03" w:rsidRPr="00396457" w:rsidSect="00187B06">
          <w:type w:val="continuous"/>
          <w:pgSz w:w="11906" w:h="16838" w:code="9"/>
          <w:pgMar w:top="1134" w:right="1134" w:bottom="1134" w:left="1134" w:header="709" w:footer="709" w:gutter="0"/>
          <w:cols w:space="397"/>
          <w:docGrid w:linePitch="360"/>
        </w:sectPr>
      </w:pPr>
    </w:p>
    <w:p w:rsidR="007A3338" w:rsidRPr="005A7B7B" w:rsidRDefault="007A3338" w:rsidP="00F17546">
      <w:pPr>
        <w:pStyle w:val="SRTextnomal"/>
      </w:pPr>
    </w:p>
    <w:p w:rsidR="00B11AA5" w:rsidRPr="005A7B7B" w:rsidRDefault="00B11AA5" w:rsidP="000D11BF">
      <w:pPr>
        <w:sectPr w:rsidR="00B11AA5" w:rsidRPr="005A7B7B" w:rsidSect="00187B06">
          <w:type w:val="continuous"/>
          <w:pgSz w:w="11906" w:h="16838" w:code="9"/>
          <w:pgMar w:top="1134" w:right="1134" w:bottom="1134" w:left="1134" w:header="709" w:footer="709" w:gutter="0"/>
          <w:cols w:space="397"/>
          <w:docGrid w:linePitch="360"/>
        </w:sectPr>
      </w:pPr>
    </w:p>
    <w:p w:rsidR="00CC4C03" w:rsidRPr="005A7B7B" w:rsidRDefault="00CC4C03" w:rsidP="00396457">
      <w:pPr>
        <w:pStyle w:val="SRTextnomal"/>
      </w:pPr>
      <w:r w:rsidRPr="005A7B7B">
        <w:t>Tabulky č. 7 a č. 8 v tabulkové části rozpočtové dokumentace nabízí detailní přehled o rozpočtovaných programech/projektech EU/FM v </w:t>
      </w:r>
      <w:r w:rsidRPr="00396457">
        <w:t>členění</w:t>
      </w:r>
      <w:r w:rsidRPr="005A7B7B">
        <w:t xml:space="preserve"> na kapitoly státního rozpočtu, podíl státního rozpočtu a podíl EU včetně informace o výdajích na vývoj, výzkum a inovace a dělení na kapitálové a běžné výdaje. Zatímco oblast FM </w:t>
      </w:r>
      <w:r w:rsidRPr="005A7B7B">
        <w:t>je převážně realizována běžnými výdaji (71</w:t>
      </w:r>
      <w:r w:rsidR="00BE2133">
        <w:t>,3</w:t>
      </w:r>
      <w:r w:rsidRPr="005A7B7B">
        <w:t xml:space="preserve"> %), oblast EU se zaměřuje z 58,4 % na investice. Vývoj, výzkum a inovace je realizován v 5,9 % celkových výdajů za oblast EU a v 8 % celkových výdajů za oblast FM.</w:t>
      </w:r>
    </w:p>
    <w:p w:rsidR="00015062" w:rsidRPr="005A7B7B" w:rsidRDefault="00015062" w:rsidP="00F17546">
      <w:pPr>
        <w:pStyle w:val="SRTextnomal"/>
      </w:pPr>
    </w:p>
    <w:p w:rsidR="00015062" w:rsidRPr="005A7B7B" w:rsidRDefault="00015062" w:rsidP="00671AAF">
      <w:pPr>
        <w:pStyle w:val="SRNadpis3"/>
        <w:sectPr w:rsidR="00015062" w:rsidRPr="005A7B7B" w:rsidSect="00187B06">
          <w:type w:val="continuous"/>
          <w:pgSz w:w="11906" w:h="16838" w:code="9"/>
          <w:pgMar w:top="1134" w:right="1134" w:bottom="1134" w:left="1134" w:header="709" w:footer="709" w:gutter="0"/>
          <w:cols w:num="2" w:space="397"/>
          <w:docGrid w:linePitch="360"/>
        </w:sectPr>
      </w:pPr>
      <w:bookmarkStart w:id="217" w:name="_Toc52369894"/>
      <w:bookmarkStart w:id="218" w:name="_Ref83796728"/>
    </w:p>
    <w:p w:rsidR="0007317A" w:rsidRPr="005A7B7B" w:rsidRDefault="0007317A" w:rsidP="007866E6">
      <w:pPr>
        <w:pStyle w:val="SRNadpis1"/>
      </w:pPr>
      <w:bookmarkStart w:id="219" w:name="_Toc52369895"/>
      <w:bookmarkStart w:id="220" w:name="_Toc175913922"/>
      <w:bookmarkEnd w:id="217"/>
      <w:bookmarkEnd w:id="218"/>
      <w:r w:rsidRPr="005A7B7B">
        <w:lastRenderedPageBreak/>
        <w:t>Přílohy</w:t>
      </w:r>
      <w:bookmarkEnd w:id="219"/>
      <w:bookmarkEnd w:id="220"/>
    </w:p>
    <w:p w:rsidR="00C030CB" w:rsidRPr="005A7B7B" w:rsidRDefault="00C030CB" w:rsidP="00E51B16">
      <w:pPr>
        <w:pStyle w:val="Zkladntext21"/>
        <w:ind w:firstLine="0"/>
        <w:rPr>
          <w:rFonts w:ascii="Calibri" w:hAnsi="Calibri"/>
          <w:sz w:val="20"/>
        </w:rPr>
      </w:pPr>
      <w:r w:rsidRPr="005A7B7B">
        <w:rPr>
          <w:rFonts w:ascii="Calibri" w:hAnsi="Calibri"/>
          <w:b/>
          <w:bCs/>
          <w:sz w:val="20"/>
        </w:rPr>
        <w:t>Příloha č. 1:</w:t>
      </w:r>
      <w:r w:rsidRPr="005A7B7B">
        <w:rPr>
          <w:rFonts w:ascii="Calibri" w:hAnsi="Calibri"/>
          <w:b/>
          <w:bCs/>
          <w:sz w:val="20"/>
        </w:rPr>
        <w:tab/>
      </w:r>
      <w:r w:rsidRPr="005A7B7B">
        <w:rPr>
          <w:rFonts w:ascii="Calibri" w:hAnsi="Calibri"/>
          <w:sz w:val="20"/>
        </w:rPr>
        <w:t>Vývoj mandatorních výdajů</w:t>
      </w:r>
    </w:p>
    <w:p w:rsidR="00C030CB" w:rsidRPr="005A7B7B" w:rsidRDefault="00C030CB" w:rsidP="00B10007">
      <w:r w:rsidRPr="005A7B7B">
        <w:rPr>
          <w:b/>
        </w:rPr>
        <w:t>Příloha č. 2:</w:t>
      </w:r>
      <w:r w:rsidRPr="005A7B7B">
        <w:rPr>
          <w:b/>
        </w:rPr>
        <w:tab/>
      </w:r>
      <w:r w:rsidR="00517C80" w:rsidRPr="005A7B7B">
        <w:t>Národní plán obnovy v detailu na komponenty kapitoly a dělení na běžné a kapitálové výdaje</w:t>
      </w:r>
    </w:p>
    <w:p w:rsidR="00954B75" w:rsidRPr="00DD52A5" w:rsidRDefault="00C030CB" w:rsidP="00B10007">
      <w:r w:rsidRPr="005A7B7B">
        <w:rPr>
          <w:b/>
        </w:rPr>
        <w:t xml:space="preserve">Příloha č. </w:t>
      </w:r>
      <w:r w:rsidR="006D56F9" w:rsidRPr="005A7B7B">
        <w:rPr>
          <w:b/>
        </w:rPr>
        <w:t>3</w:t>
      </w:r>
      <w:r w:rsidRPr="005A7B7B">
        <w:t>:</w:t>
      </w:r>
      <w:r w:rsidR="00A60F16" w:rsidRPr="005A7B7B">
        <w:tab/>
      </w:r>
      <w:r w:rsidRPr="005A7B7B">
        <w:t xml:space="preserve">Kvantifikace daňových úlev v České republice za rok </w:t>
      </w:r>
      <w:r w:rsidR="003A2FC8" w:rsidRPr="005A7B7B">
        <w:t>20</w:t>
      </w:r>
      <w:r w:rsidR="001841A5" w:rsidRPr="005A7B7B">
        <w:t>22</w:t>
      </w:r>
    </w:p>
    <w:sectPr w:rsidR="00954B75" w:rsidRPr="00DD52A5" w:rsidSect="00187B06">
      <w:footerReference w:type="default" r:id="rId84"/>
      <w:type w:val="continuous"/>
      <w:pgSz w:w="11906" w:h="16838" w:code="9"/>
      <w:pgMar w:top="1134" w:right="1134" w:bottom="1134" w:left="1134" w:header="709" w:footer="709" w:gutter="0"/>
      <w:cols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243E" w:rsidRDefault="0090243E">
      <w:r>
        <w:separator/>
      </w:r>
    </w:p>
    <w:p w:rsidR="0090243E" w:rsidRDefault="0090243E"/>
    <w:p w:rsidR="0090243E" w:rsidRDefault="0090243E"/>
  </w:endnote>
  <w:endnote w:type="continuationSeparator" w:id="0">
    <w:p w:rsidR="0090243E" w:rsidRDefault="0090243E">
      <w:r>
        <w:continuationSeparator/>
      </w:r>
    </w:p>
    <w:p w:rsidR="0090243E" w:rsidRDefault="0090243E"/>
    <w:p w:rsidR="0090243E" w:rsidRDefault="0090243E"/>
  </w:endnote>
  <w:endnote w:type="continuationNotice" w:id="1">
    <w:p w:rsidR="0090243E" w:rsidRDefault="009024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MT">
    <w:altName w:val="Times New Roman"/>
    <w:panose1 w:val="00000000000000000000"/>
    <w:charset w:val="EE"/>
    <w:family w:val="auto"/>
    <w:notTrueType/>
    <w:pitch w:val="default"/>
    <w:sig w:usb0="00000001" w:usb1="00000000" w:usb2="00000000" w:usb3="00000000" w:csb0="00000003"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page" w:tblpX="7939" w:tblpY="1"/>
      <w:tblOverlap w:val="never"/>
      <w:tblW w:w="1881"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2988"/>
      <w:gridCol w:w="719"/>
    </w:tblGrid>
    <w:tr w:rsidR="0090243E" w:rsidRPr="00175F17" w:rsidTr="0053496B">
      <w:trPr>
        <w:cantSplit/>
      </w:trPr>
      <w:tc>
        <w:tcPr>
          <w:tcW w:w="4030" w:type="pct"/>
          <w:shd w:val="clear" w:color="auto" w:fill="auto"/>
          <w:vAlign w:val="center"/>
        </w:tcPr>
        <w:p w:rsidR="0090243E" w:rsidRDefault="0090243E" w:rsidP="002B367F">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zákonu </w:t>
          </w:r>
          <w:r w:rsidRPr="00CE734A">
            <w:rPr>
              <w:b/>
              <w:color w:val="999999"/>
              <w:sz w:val="16"/>
              <w:szCs w:val="16"/>
            </w:rPr>
            <w:t>o státním rozp</w:t>
          </w:r>
          <w:r>
            <w:rPr>
              <w:b/>
              <w:color w:val="999999"/>
              <w:sz w:val="16"/>
              <w:szCs w:val="16"/>
            </w:rPr>
            <w:t xml:space="preserve">očtu </w:t>
          </w:r>
        </w:p>
        <w:p w:rsidR="0090243E" w:rsidRPr="0017797C" w:rsidRDefault="0090243E" w:rsidP="002B367F">
          <w:pPr>
            <w:suppressAutoHyphens/>
            <w:spacing w:after="0"/>
            <w:jc w:val="right"/>
            <w:rPr>
              <w:b/>
              <w:noProof/>
              <w:color w:val="999999"/>
              <w:sz w:val="16"/>
              <w:szCs w:val="16"/>
            </w:rPr>
          </w:pPr>
          <w:r>
            <w:rPr>
              <w:b/>
              <w:color w:val="999999"/>
              <w:sz w:val="16"/>
              <w:szCs w:val="16"/>
            </w:rPr>
            <w:t>České republiky na rok 2024</w:t>
          </w:r>
        </w:p>
      </w:tc>
      <w:tc>
        <w:tcPr>
          <w:tcW w:w="970" w:type="pct"/>
          <w:shd w:val="clear" w:color="auto" w:fill="auto"/>
          <w:vAlign w:val="center"/>
        </w:tcPr>
        <w:p w:rsidR="0090243E" w:rsidRPr="006E3BB6" w:rsidRDefault="0090243E" w:rsidP="002B367F">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2</w:t>
          </w:r>
          <w:r w:rsidRPr="00175F17">
            <w:rPr>
              <w:rStyle w:val="slostrnky"/>
              <w:sz w:val="32"/>
              <w:szCs w:val="32"/>
            </w:rPr>
            <w:fldChar w:fldCharType="end"/>
          </w:r>
        </w:p>
      </w:tc>
    </w:tr>
  </w:tbl>
  <w:p w:rsidR="0090243E" w:rsidRDefault="0090243E" w:rsidP="002B367F">
    <w:pPr>
      <w:pStyle w:val="Zpat"/>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page" w:tblpX="10140" w:tblpY="1"/>
      <w:tblOverlap w:val="never"/>
      <w:tblW w:w="2084"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5008"/>
      <w:gridCol w:w="1062"/>
    </w:tblGrid>
    <w:tr w:rsidR="0090243E" w:rsidRPr="00175F17" w:rsidTr="00E47353">
      <w:trPr>
        <w:cantSplit/>
      </w:trPr>
      <w:tc>
        <w:tcPr>
          <w:tcW w:w="4125" w:type="pct"/>
          <w:shd w:val="clear" w:color="auto" w:fill="auto"/>
          <w:vAlign w:val="center"/>
        </w:tcPr>
        <w:p w:rsidR="0090243E" w:rsidRPr="0017797C" w:rsidRDefault="0090243E" w:rsidP="00F121C4">
          <w:pPr>
            <w:suppressAutoHyphens/>
            <w:spacing w:after="0"/>
            <w:jc w:val="right"/>
            <w:rPr>
              <w:b/>
              <w:color w:val="999999"/>
              <w:sz w:val="16"/>
              <w:szCs w:val="16"/>
            </w:rPr>
          </w:pPr>
          <w:r w:rsidRPr="00CE734A">
            <w:rPr>
              <w:b/>
              <w:color w:val="999999"/>
              <w:sz w:val="16"/>
              <w:szCs w:val="16"/>
            </w:rPr>
            <w:t>Zpráva k </w:t>
          </w:r>
          <w:r>
            <w:rPr>
              <w:b/>
              <w:color w:val="999999"/>
              <w:sz w:val="16"/>
              <w:szCs w:val="16"/>
            </w:rPr>
            <w:t>zákonu</w:t>
          </w:r>
          <w:r w:rsidRPr="00CE734A">
            <w:rPr>
              <w:b/>
              <w:color w:val="999999"/>
              <w:sz w:val="16"/>
              <w:szCs w:val="16"/>
            </w:rPr>
            <w:t xml:space="preserve"> o státním rozp</w:t>
          </w:r>
          <w:r>
            <w:rPr>
              <w:b/>
              <w:color w:val="999999"/>
              <w:sz w:val="16"/>
              <w:szCs w:val="16"/>
            </w:rPr>
            <w:t>očtu České republiky na rok 2024</w:t>
          </w:r>
        </w:p>
      </w:tc>
      <w:tc>
        <w:tcPr>
          <w:tcW w:w="875" w:type="pct"/>
          <w:shd w:val="clear" w:color="auto" w:fill="auto"/>
          <w:vAlign w:val="center"/>
        </w:tcPr>
        <w:p w:rsidR="0090243E" w:rsidRPr="006E3BB6" w:rsidRDefault="0090243E" w:rsidP="00E47353">
          <w:pPr>
            <w:spacing w:after="0"/>
            <w:ind w:right="-37"/>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9</w:t>
          </w:r>
          <w:r w:rsidRPr="00175F17">
            <w:rPr>
              <w:rStyle w:val="slostrnky"/>
              <w:sz w:val="32"/>
              <w:szCs w:val="32"/>
            </w:rPr>
            <w:fldChar w:fldCharType="end"/>
          </w:r>
        </w:p>
      </w:tc>
    </w:tr>
  </w:tbl>
  <w:p w:rsidR="0090243E" w:rsidRPr="00A12A05" w:rsidRDefault="0090243E" w:rsidP="00FF4534">
    <w:pPr>
      <w:pStyle w:val="Zpat"/>
      <w:jc w:val="cen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page" w:tblpX="7939" w:tblpY="1"/>
      <w:tblOverlap w:val="never"/>
      <w:tblW w:w="2673"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7227"/>
      <w:gridCol w:w="559"/>
    </w:tblGrid>
    <w:tr w:rsidR="0090243E" w:rsidRPr="00175F17" w:rsidTr="00C965CF">
      <w:trPr>
        <w:cantSplit/>
      </w:trPr>
      <w:tc>
        <w:tcPr>
          <w:tcW w:w="4641" w:type="pct"/>
          <w:tcBorders>
            <w:top w:val="single" w:sz="2" w:space="0" w:color="FFFFFF"/>
            <w:bottom w:val="single" w:sz="2" w:space="0" w:color="FFFFFF"/>
            <w:right w:val="single" w:sz="18" w:space="0" w:color="A6A6A6"/>
          </w:tcBorders>
          <w:shd w:val="clear" w:color="auto" w:fill="auto"/>
          <w:vAlign w:val="center"/>
        </w:tcPr>
        <w:p w:rsidR="0090243E" w:rsidRPr="0017797C" w:rsidRDefault="0090243E" w:rsidP="00072AFB">
          <w:pPr>
            <w:suppressAutoHyphens/>
            <w:spacing w:after="0"/>
            <w:jc w:val="right"/>
            <w:rPr>
              <w:b/>
              <w:noProof/>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c>
        <w:tcPr>
          <w:tcW w:w="359" w:type="pct"/>
          <w:tcBorders>
            <w:left w:val="single" w:sz="18" w:space="0" w:color="A6A6A6"/>
          </w:tcBorders>
          <w:shd w:val="clear" w:color="auto" w:fill="auto"/>
          <w:vAlign w:val="center"/>
        </w:tcPr>
        <w:p w:rsidR="0090243E" w:rsidRPr="006E3BB6" w:rsidRDefault="0090243E" w:rsidP="00904C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11</w:t>
          </w:r>
          <w:r w:rsidRPr="00175F17">
            <w:rPr>
              <w:rStyle w:val="slostrnky"/>
              <w:sz w:val="32"/>
              <w:szCs w:val="32"/>
            </w:rPr>
            <w:fldChar w:fldCharType="end"/>
          </w:r>
        </w:p>
      </w:tc>
    </w:tr>
  </w:tbl>
  <w:p w:rsidR="0090243E" w:rsidRPr="00A12A05" w:rsidRDefault="0090243E" w:rsidP="008B6706">
    <w:pPr>
      <w:pStyle w:val="Zpat"/>
      <w:jc w:val="cen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Y="1"/>
      <w:tblOverlap w:val="never"/>
      <w:tblW w:w="1909" w:type="pct"/>
      <w:tblLook w:val="01E0" w:firstRow="1" w:lastRow="1" w:firstColumn="1" w:lastColumn="1" w:noHBand="0" w:noVBand="0"/>
    </w:tblPr>
    <w:tblGrid>
      <w:gridCol w:w="689"/>
      <w:gridCol w:w="2991"/>
    </w:tblGrid>
    <w:tr w:rsidR="0090243E" w:rsidRPr="00175F17" w:rsidTr="00F6523A">
      <w:trPr>
        <w:cantSplit/>
      </w:trPr>
      <w:tc>
        <w:tcPr>
          <w:tcW w:w="936" w:type="pct"/>
          <w:tcBorders>
            <w:right w:val="single" w:sz="18" w:space="0" w:color="808080" w:themeColor="background1" w:themeShade="80"/>
          </w:tcBorders>
          <w:vAlign w:val="center"/>
        </w:tcPr>
        <w:p w:rsidR="0090243E" w:rsidRPr="006E3BB6" w:rsidRDefault="0090243E" w:rsidP="00B255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23</w:t>
          </w:r>
          <w:r w:rsidRPr="00175F17">
            <w:rPr>
              <w:rStyle w:val="slostrnky"/>
              <w:sz w:val="32"/>
              <w:szCs w:val="32"/>
            </w:rPr>
            <w:fldChar w:fldCharType="end"/>
          </w:r>
        </w:p>
      </w:tc>
      <w:tc>
        <w:tcPr>
          <w:tcW w:w="4064" w:type="pct"/>
          <w:tcBorders>
            <w:left w:val="single" w:sz="18" w:space="0" w:color="808080" w:themeColor="background1" w:themeShade="80"/>
          </w:tcBorders>
          <w:shd w:val="clear" w:color="auto" w:fill="auto"/>
          <w:vAlign w:val="center"/>
        </w:tcPr>
        <w:p w:rsidR="0090243E" w:rsidRPr="0017797C" w:rsidRDefault="0090243E" w:rsidP="00B255F4">
          <w:pPr>
            <w:suppressAutoHyphens/>
            <w:spacing w:after="0"/>
            <w:jc w:val="left"/>
            <w:rPr>
              <w:b/>
              <w:noProof/>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r>
  </w:tbl>
  <w:p w:rsidR="0090243E" w:rsidRPr="00A12A05" w:rsidRDefault="0090243E" w:rsidP="008B6706">
    <w:pPr>
      <w:pStyle w:val="Zpat"/>
      <w:jc w:val="cen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page" w:tblpX="7939" w:tblpY="1"/>
      <w:tblOverlap w:val="never"/>
      <w:tblW w:w="3051"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7163"/>
      <w:gridCol w:w="1724"/>
    </w:tblGrid>
    <w:tr w:rsidR="0090243E" w:rsidRPr="00175F17" w:rsidTr="00647B10">
      <w:trPr>
        <w:cantSplit/>
        <w:trHeight w:val="347"/>
      </w:trPr>
      <w:tc>
        <w:tcPr>
          <w:tcW w:w="4030" w:type="pct"/>
          <w:tcBorders>
            <w:right w:val="single" w:sz="18" w:space="0" w:color="808080" w:themeColor="background1" w:themeShade="80"/>
          </w:tcBorders>
          <w:shd w:val="clear" w:color="auto" w:fill="auto"/>
          <w:vAlign w:val="center"/>
        </w:tcPr>
        <w:p w:rsidR="0090243E" w:rsidRPr="0017797C" w:rsidRDefault="0090243E" w:rsidP="005D22D4">
          <w:pPr>
            <w:suppressAutoHyphens/>
            <w:spacing w:after="0"/>
            <w:jc w:val="right"/>
            <w:rPr>
              <w:b/>
              <w:noProof/>
              <w:color w:val="999999"/>
              <w:sz w:val="16"/>
              <w:szCs w:val="16"/>
            </w:rPr>
          </w:pPr>
          <w:r w:rsidRPr="00CE734A">
            <w:rPr>
              <w:b/>
              <w:color w:val="999999"/>
              <w:sz w:val="16"/>
              <w:szCs w:val="16"/>
            </w:rPr>
            <w:t>Zpráva k </w:t>
          </w:r>
          <w:r>
            <w:rPr>
              <w:b/>
              <w:color w:val="999999"/>
              <w:sz w:val="16"/>
              <w:szCs w:val="16"/>
            </w:rPr>
            <w:t>zákonu</w:t>
          </w:r>
          <w:r w:rsidRPr="00CE734A">
            <w:rPr>
              <w:b/>
              <w:color w:val="999999"/>
              <w:sz w:val="16"/>
              <w:szCs w:val="16"/>
            </w:rPr>
            <w:t xml:space="preserve"> o státním rozpočtu České republiky na rok 202</w:t>
          </w:r>
          <w:r>
            <w:rPr>
              <w:b/>
              <w:color w:val="999999"/>
              <w:sz w:val="16"/>
              <w:szCs w:val="16"/>
            </w:rPr>
            <w:t>4</w:t>
          </w:r>
        </w:p>
      </w:tc>
      <w:tc>
        <w:tcPr>
          <w:tcW w:w="970" w:type="pct"/>
          <w:tcBorders>
            <w:top w:val="single" w:sz="2" w:space="0" w:color="FFFFFF"/>
            <w:left w:val="single" w:sz="18" w:space="0" w:color="808080" w:themeColor="background1" w:themeShade="80"/>
            <w:bottom w:val="single" w:sz="2" w:space="0" w:color="FFFFFF"/>
          </w:tcBorders>
          <w:shd w:val="clear" w:color="auto" w:fill="auto"/>
          <w:vAlign w:val="center"/>
        </w:tcPr>
        <w:p w:rsidR="0090243E" w:rsidRPr="00647B10" w:rsidRDefault="0090243E" w:rsidP="00CE734A">
          <w:pPr>
            <w:spacing w:after="0"/>
            <w:rPr>
              <w:rStyle w:val="slostrnky"/>
              <w:noProof/>
              <w:sz w:val="32"/>
              <w:szCs w:val="32"/>
            </w:rPr>
          </w:pPr>
          <w:r w:rsidRPr="00175F17">
            <w:rPr>
              <w:rStyle w:val="slostrnky"/>
              <w:noProof/>
              <w:sz w:val="32"/>
              <w:szCs w:val="32"/>
            </w:rPr>
            <w:fldChar w:fldCharType="begin"/>
          </w:r>
          <w:r w:rsidRPr="00175F17">
            <w:rPr>
              <w:rStyle w:val="slostrnky"/>
              <w:noProof/>
              <w:sz w:val="32"/>
              <w:szCs w:val="32"/>
            </w:rPr>
            <w:instrText xml:space="preserve"> PAGE </w:instrText>
          </w:r>
          <w:r w:rsidRPr="00175F17">
            <w:rPr>
              <w:rStyle w:val="slostrnky"/>
              <w:noProof/>
              <w:sz w:val="32"/>
              <w:szCs w:val="32"/>
            </w:rPr>
            <w:fldChar w:fldCharType="separate"/>
          </w:r>
          <w:r w:rsidR="00597ADA">
            <w:rPr>
              <w:rStyle w:val="slostrnky"/>
              <w:noProof/>
              <w:sz w:val="32"/>
              <w:szCs w:val="32"/>
            </w:rPr>
            <w:t>25</w:t>
          </w:r>
          <w:r w:rsidRPr="00175F17">
            <w:rPr>
              <w:rStyle w:val="slostrnky"/>
              <w:noProof/>
              <w:sz w:val="32"/>
              <w:szCs w:val="32"/>
            </w:rPr>
            <w:fldChar w:fldCharType="end"/>
          </w:r>
        </w:p>
      </w:tc>
    </w:tr>
  </w:tbl>
  <w:p w:rsidR="0090243E" w:rsidRPr="00A12A05" w:rsidRDefault="0090243E" w:rsidP="00CE734A">
    <w:pPr>
      <w:pStyle w:val="Zpa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Y="1"/>
      <w:tblOverlap w:val="never"/>
      <w:tblW w:w="1909" w:type="pct"/>
      <w:tblLook w:val="01E0" w:firstRow="1" w:lastRow="1" w:firstColumn="1" w:lastColumn="1" w:noHBand="0" w:noVBand="0"/>
    </w:tblPr>
    <w:tblGrid>
      <w:gridCol w:w="689"/>
      <w:gridCol w:w="2991"/>
    </w:tblGrid>
    <w:tr w:rsidR="0090243E" w:rsidRPr="00175F17" w:rsidTr="00F6523A">
      <w:trPr>
        <w:cantSplit/>
      </w:trPr>
      <w:tc>
        <w:tcPr>
          <w:tcW w:w="936" w:type="pct"/>
          <w:tcBorders>
            <w:right w:val="single" w:sz="18" w:space="0" w:color="808080" w:themeColor="background1" w:themeShade="80"/>
          </w:tcBorders>
          <w:vAlign w:val="center"/>
        </w:tcPr>
        <w:p w:rsidR="0090243E" w:rsidRPr="006E3BB6" w:rsidRDefault="0090243E" w:rsidP="00647B10">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59</w:t>
          </w:r>
          <w:r w:rsidRPr="00175F17">
            <w:rPr>
              <w:rStyle w:val="slostrnky"/>
              <w:sz w:val="32"/>
              <w:szCs w:val="32"/>
            </w:rPr>
            <w:fldChar w:fldCharType="end"/>
          </w:r>
        </w:p>
      </w:tc>
      <w:tc>
        <w:tcPr>
          <w:tcW w:w="4064" w:type="pct"/>
          <w:tcBorders>
            <w:left w:val="single" w:sz="18" w:space="0" w:color="808080" w:themeColor="background1" w:themeShade="80"/>
          </w:tcBorders>
          <w:shd w:val="clear" w:color="auto" w:fill="auto"/>
          <w:vAlign w:val="center"/>
        </w:tcPr>
        <w:p w:rsidR="0090243E" w:rsidRPr="0017797C" w:rsidRDefault="0090243E" w:rsidP="00647B10">
          <w:pPr>
            <w:suppressAutoHyphens/>
            <w:spacing w:after="0"/>
            <w:jc w:val="left"/>
            <w:rPr>
              <w:b/>
              <w:noProof/>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r>
  </w:tbl>
  <w:p w:rsidR="0090243E" w:rsidRPr="00A12A05" w:rsidRDefault="0090243E" w:rsidP="00CE734A">
    <w:pPr>
      <w:pStyle w:val="Zpa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rsidP="0033527E">
    <w:pPr>
      <w:pStyle w:val="Zpat"/>
    </w:pPr>
  </w:p>
  <w:p w:rsidR="0090243E" w:rsidRPr="00A12A05" w:rsidRDefault="0090243E" w:rsidP="0033527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Y="1"/>
      <w:tblOverlap w:val="never"/>
      <w:tblW w:w="1909" w:type="pct"/>
      <w:tblLook w:val="01E0" w:firstRow="1" w:lastRow="1" w:firstColumn="1" w:lastColumn="1" w:noHBand="0" w:noVBand="0"/>
    </w:tblPr>
    <w:tblGrid>
      <w:gridCol w:w="689"/>
      <w:gridCol w:w="2991"/>
    </w:tblGrid>
    <w:tr w:rsidR="0090243E" w:rsidRPr="00175F17" w:rsidTr="005056B3">
      <w:trPr>
        <w:cantSplit/>
      </w:trPr>
      <w:tc>
        <w:tcPr>
          <w:tcW w:w="936" w:type="pct"/>
          <w:tcBorders>
            <w:right w:val="single" w:sz="18" w:space="0" w:color="808080" w:themeColor="background1" w:themeShade="80"/>
          </w:tcBorders>
          <w:vAlign w:val="center"/>
        </w:tcPr>
        <w:p w:rsidR="0090243E" w:rsidRPr="006E3BB6" w:rsidRDefault="0090243E" w:rsidP="005056B3">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9335B7">
            <w:rPr>
              <w:rStyle w:val="slostrnky"/>
              <w:noProof/>
              <w:sz w:val="32"/>
              <w:szCs w:val="32"/>
            </w:rPr>
            <w:t>5</w:t>
          </w:r>
          <w:r w:rsidRPr="00175F17">
            <w:rPr>
              <w:rStyle w:val="slostrnky"/>
              <w:sz w:val="32"/>
              <w:szCs w:val="32"/>
            </w:rPr>
            <w:fldChar w:fldCharType="end"/>
          </w:r>
        </w:p>
      </w:tc>
      <w:tc>
        <w:tcPr>
          <w:tcW w:w="4064" w:type="pct"/>
          <w:tcBorders>
            <w:left w:val="single" w:sz="18" w:space="0" w:color="808080" w:themeColor="background1" w:themeShade="80"/>
          </w:tcBorders>
          <w:shd w:val="clear" w:color="auto" w:fill="auto"/>
          <w:vAlign w:val="center"/>
        </w:tcPr>
        <w:p w:rsidR="0090243E" w:rsidRPr="0017797C" w:rsidRDefault="0090243E" w:rsidP="005056B3">
          <w:pPr>
            <w:suppressAutoHyphens/>
            <w:spacing w:after="0"/>
            <w:jc w:val="left"/>
            <w:rPr>
              <w:b/>
              <w:noProof/>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r>
  </w:tbl>
  <w:p w:rsidR="0090243E" w:rsidRPr="00321C30" w:rsidRDefault="0090243E" w:rsidP="00321C3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XSpec="right" w:tblpY="1"/>
      <w:tblOverlap w:val="never"/>
      <w:tblW w:w="2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7"/>
      <w:gridCol w:w="642"/>
    </w:tblGrid>
    <w:tr w:rsidR="0090243E" w:rsidRPr="00175F17" w:rsidTr="005056B3">
      <w:trPr>
        <w:cantSplit/>
      </w:trPr>
      <w:tc>
        <w:tcPr>
          <w:tcW w:w="4191" w:type="pct"/>
          <w:tcBorders>
            <w:top w:val="nil"/>
            <w:left w:val="nil"/>
            <w:bottom w:val="nil"/>
            <w:right w:val="single" w:sz="18" w:space="0" w:color="808080" w:themeColor="background1" w:themeShade="80"/>
          </w:tcBorders>
          <w:shd w:val="clear" w:color="auto" w:fill="auto"/>
          <w:vAlign w:val="center"/>
        </w:tcPr>
        <w:p w:rsidR="0090243E" w:rsidRDefault="0090243E" w:rsidP="005056B3">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 xml:space="preserve">očtu </w:t>
          </w:r>
        </w:p>
        <w:p w:rsidR="0090243E" w:rsidRPr="0017797C" w:rsidRDefault="0090243E" w:rsidP="005056B3">
          <w:pPr>
            <w:suppressAutoHyphens/>
            <w:spacing w:after="0"/>
            <w:jc w:val="right"/>
            <w:rPr>
              <w:b/>
              <w:noProof/>
              <w:color w:val="999999"/>
              <w:sz w:val="16"/>
              <w:szCs w:val="16"/>
            </w:rPr>
          </w:pPr>
          <w:r>
            <w:rPr>
              <w:b/>
              <w:color w:val="999999"/>
              <w:sz w:val="16"/>
              <w:szCs w:val="16"/>
            </w:rPr>
            <w:t>České republiky na rok 2025</w:t>
          </w:r>
        </w:p>
      </w:tc>
      <w:tc>
        <w:tcPr>
          <w:tcW w:w="809" w:type="pct"/>
          <w:tcBorders>
            <w:top w:val="nil"/>
            <w:left w:val="single" w:sz="18" w:space="0" w:color="808080" w:themeColor="background1" w:themeShade="80"/>
            <w:bottom w:val="nil"/>
            <w:right w:val="nil"/>
          </w:tcBorders>
          <w:vAlign w:val="center"/>
        </w:tcPr>
        <w:p w:rsidR="0090243E" w:rsidRPr="006E3BB6" w:rsidRDefault="0090243E" w:rsidP="005056B3">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9335B7">
            <w:rPr>
              <w:rStyle w:val="slostrnky"/>
              <w:noProof/>
              <w:sz w:val="32"/>
              <w:szCs w:val="32"/>
            </w:rPr>
            <w:t>4</w:t>
          </w:r>
          <w:r w:rsidRPr="00175F17">
            <w:rPr>
              <w:rStyle w:val="slostrnky"/>
              <w:sz w:val="32"/>
              <w:szCs w:val="32"/>
            </w:rPr>
            <w:fldChar w:fldCharType="end"/>
          </w:r>
        </w:p>
      </w:tc>
    </w:tr>
  </w:tbl>
  <w:p w:rsidR="0090243E" w:rsidRDefault="0090243E" w:rsidP="002B367F">
    <w:pPr>
      <w:pStyle w:val="Zpat"/>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Pr="00A12A05" w:rsidRDefault="0090243E" w:rsidP="00A12A05">
    <w:pPr>
      <w:pStyle w:val="Zpat"/>
    </w:pPr>
    <w:r>
      <w:rPr>
        <w:noProof/>
      </w:rPr>
      <mc:AlternateContent>
        <mc:Choice Requires="wps">
          <w:drawing>
            <wp:anchor distT="0" distB="0" distL="114300" distR="114300" simplePos="0" relativeHeight="251657728" behindDoc="0" locked="0" layoutInCell="1" allowOverlap="1">
              <wp:simplePos x="0" y="0"/>
              <wp:positionH relativeFrom="column">
                <wp:posOffset>-113665</wp:posOffset>
              </wp:positionH>
              <wp:positionV relativeFrom="paragraph">
                <wp:posOffset>-1175385</wp:posOffset>
              </wp:positionV>
              <wp:extent cx="2743200" cy="1257300"/>
              <wp:effectExtent l="0" t="0" r="0" b="0"/>
              <wp:wrapNone/>
              <wp:docPr id="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243E" w:rsidRPr="000F3D4A" w:rsidRDefault="0090243E" w:rsidP="00035475">
                          <w:pPr>
                            <w:spacing w:before="240" w:after="0"/>
                            <w:rPr>
                              <w:sz w:val="24"/>
                            </w:rPr>
                          </w:pPr>
                        </w:p>
                      </w:txbxContent>
                    </wps:txbx>
                    <wps:bodyPr rot="0" vert="horz" wrap="square" lIns="91440" tIns="90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left:0;text-align:left;margin-left:-8.95pt;margin-top:-92.55pt;width:3in;height:9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" filled="f" stroked="f">
              <v:textbox inset=",2.5mm,,0">
                <w:txbxContent>
                  <w:p w:rsidR="0090243E" w:rsidRPr="000F3D4A" w:rsidRDefault="0090243E" w:rsidP="00035475">
                    <w:pPr>
                      <w:spacing w:before="240" w:after="0"/>
                      <w:rPr>
                        <w:sz w:val="24"/>
                      </w:rPr>
                    </w:pPr>
                  </w:p>
                </w:txbxContent>
              </v:textbox>
            </v:shape>
          </w:pict>
        </mc:Fallback>
      </mc:AlternateContent>
    </w:r>
  </w:p>
  <w:tbl>
    <w:tblPr>
      <w:tblpPr w:leftFromText="142" w:rightFromText="142" w:vertAnchor="text" w:horzAnchor="margin" w:tblpXSpec="right" w:tblpY="1"/>
      <w:tblOverlap w:val="never"/>
      <w:tblW w:w="2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7"/>
      <w:gridCol w:w="642"/>
    </w:tblGrid>
    <w:tr w:rsidR="0090243E" w:rsidRPr="00175F17" w:rsidTr="00F6523A">
      <w:trPr>
        <w:cantSplit/>
      </w:trPr>
      <w:tc>
        <w:tcPr>
          <w:tcW w:w="4191" w:type="pct"/>
          <w:tcBorders>
            <w:top w:val="nil"/>
            <w:left w:val="nil"/>
            <w:bottom w:val="nil"/>
            <w:right w:val="single" w:sz="18" w:space="0" w:color="808080" w:themeColor="background1" w:themeShade="80"/>
          </w:tcBorders>
          <w:shd w:val="clear" w:color="auto" w:fill="auto"/>
          <w:vAlign w:val="center"/>
        </w:tcPr>
        <w:p w:rsidR="0090243E" w:rsidRDefault="0090243E" w:rsidP="00B255F4">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 xml:space="preserve">očtu </w:t>
          </w:r>
        </w:p>
        <w:p w:rsidR="0090243E" w:rsidRPr="0017797C" w:rsidRDefault="0090243E" w:rsidP="00B255F4">
          <w:pPr>
            <w:suppressAutoHyphens/>
            <w:spacing w:after="0"/>
            <w:jc w:val="right"/>
            <w:rPr>
              <w:b/>
              <w:noProof/>
              <w:color w:val="999999"/>
              <w:sz w:val="16"/>
              <w:szCs w:val="16"/>
            </w:rPr>
          </w:pPr>
          <w:r>
            <w:rPr>
              <w:b/>
              <w:color w:val="999999"/>
              <w:sz w:val="16"/>
              <w:szCs w:val="16"/>
            </w:rPr>
            <w:t>České republiky na rok 2025</w:t>
          </w:r>
        </w:p>
      </w:tc>
      <w:tc>
        <w:tcPr>
          <w:tcW w:w="809" w:type="pct"/>
          <w:tcBorders>
            <w:top w:val="nil"/>
            <w:left w:val="single" w:sz="18" w:space="0" w:color="808080" w:themeColor="background1" w:themeShade="80"/>
            <w:bottom w:val="nil"/>
            <w:right w:val="nil"/>
          </w:tcBorders>
          <w:vAlign w:val="center"/>
        </w:tcPr>
        <w:p w:rsidR="0090243E" w:rsidRPr="006E3BB6" w:rsidRDefault="0090243E" w:rsidP="00B255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6</w:t>
          </w:r>
          <w:r w:rsidRPr="00175F17">
            <w:rPr>
              <w:rStyle w:val="slostrnky"/>
              <w:sz w:val="32"/>
              <w:szCs w:val="32"/>
            </w:rPr>
            <w:fldChar w:fldCharType="end"/>
          </w:r>
        </w:p>
      </w:tc>
    </w:tr>
  </w:tbl>
  <w:p w:rsidR="0090243E" w:rsidRDefault="0090243E"/>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page" w:tblpX="7939" w:tblpY="1"/>
      <w:tblOverlap w:val="never"/>
      <w:tblW w:w="1881" w:type="pct"/>
      <w:tblBorders>
        <w:top w:val="single" w:sz="2" w:space="0" w:color="FFFFFF"/>
        <w:left w:val="single" w:sz="2" w:space="0" w:color="FFFFFF"/>
        <w:bottom w:val="single" w:sz="2" w:space="0" w:color="FFFFFF"/>
        <w:right w:val="single" w:sz="2" w:space="0" w:color="FFFFFF"/>
        <w:insideH w:val="single" w:sz="12" w:space="0" w:color="999999"/>
        <w:insideV w:val="single" w:sz="12" w:space="0" w:color="999999"/>
      </w:tblBorders>
      <w:tblLook w:val="01E0" w:firstRow="1" w:lastRow="1" w:firstColumn="1" w:lastColumn="1" w:noHBand="0" w:noVBand="0"/>
    </w:tblPr>
    <w:tblGrid>
      <w:gridCol w:w="2921"/>
      <w:gridCol w:w="703"/>
    </w:tblGrid>
    <w:tr w:rsidR="0090243E" w:rsidRPr="00175F17" w:rsidTr="00C965CF">
      <w:trPr>
        <w:cantSplit/>
      </w:trPr>
      <w:tc>
        <w:tcPr>
          <w:tcW w:w="4030" w:type="pct"/>
          <w:tcBorders>
            <w:top w:val="single" w:sz="2" w:space="0" w:color="FFFFFF"/>
            <w:bottom w:val="single" w:sz="2" w:space="0" w:color="FFFFFF"/>
            <w:right w:val="single" w:sz="18" w:space="0" w:color="A6A6A6"/>
          </w:tcBorders>
          <w:shd w:val="clear" w:color="auto" w:fill="auto"/>
          <w:vAlign w:val="center"/>
        </w:tcPr>
        <w:p w:rsidR="0090243E" w:rsidRPr="0017797C" w:rsidRDefault="0090243E" w:rsidP="00E94811">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c>
        <w:tcPr>
          <w:tcW w:w="970" w:type="pct"/>
          <w:tcBorders>
            <w:left w:val="single" w:sz="18" w:space="0" w:color="A6A6A6"/>
          </w:tcBorders>
          <w:shd w:val="clear" w:color="auto" w:fill="auto"/>
          <w:vAlign w:val="center"/>
        </w:tcPr>
        <w:p w:rsidR="0090243E" w:rsidRPr="006E3BB6" w:rsidRDefault="0090243E" w:rsidP="00E94811">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Pr>
              <w:rStyle w:val="slostrnky"/>
              <w:noProof/>
              <w:sz w:val="32"/>
              <w:szCs w:val="32"/>
            </w:rPr>
            <w:t>7</w:t>
          </w:r>
          <w:r w:rsidRPr="00175F17">
            <w:rPr>
              <w:rStyle w:val="slostrnky"/>
              <w:sz w:val="32"/>
              <w:szCs w:val="32"/>
            </w:rPr>
            <w:fldChar w:fldCharType="end"/>
          </w:r>
        </w:p>
      </w:tc>
    </w:tr>
  </w:tbl>
  <w:p w:rsidR="0090243E" w:rsidRPr="00A12A05" w:rsidRDefault="0090243E" w:rsidP="00CE734A">
    <w:pPr>
      <w:pStyle w:val="Zpa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XSpec="right" w:tblpY="1"/>
      <w:tblOverlap w:val="never"/>
      <w:tblW w:w="2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7"/>
      <w:gridCol w:w="642"/>
    </w:tblGrid>
    <w:tr w:rsidR="0090243E" w:rsidRPr="00175F17" w:rsidTr="00F6523A">
      <w:trPr>
        <w:cantSplit/>
      </w:trPr>
      <w:tc>
        <w:tcPr>
          <w:tcW w:w="4191" w:type="pct"/>
          <w:tcBorders>
            <w:top w:val="nil"/>
            <w:left w:val="nil"/>
            <w:bottom w:val="nil"/>
            <w:right w:val="single" w:sz="18" w:space="0" w:color="808080" w:themeColor="background1" w:themeShade="80"/>
          </w:tcBorders>
          <w:shd w:val="clear" w:color="auto" w:fill="auto"/>
          <w:vAlign w:val="center"/>
        </w:tcPr>
        <w:p w:rsidR="0090243E" w:rsidRDefault="0090243E" w:rsidP="00B255F4">
          <w:pPr>
            <w:suppressAutoHyphens/>
            <w:spacing w:after="0"/>
            <w:jc w:val="right"/>
            <w:rPr>
              <w:b/>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 xml:space="preserve">očtu </w:t>
          </w:r>
        </w:p>
        <w:p w:rsidR="0090243E" w:rsidRPr="0017797C" w:rsidRDefault="0090243E" w:rsidP="00B255F4">
          <w:pPr>
            <w:suppressAutoHyphens/>
            <w:spacing w:after="0"/>
            <w:jc w:val="right"/>
            <w:rPr>
              <w:b/>
              <w:noProof/>
              <w:color w:val="999999"/>
              <w:sz w:val="16"/>
              <w:szCs w:val="16"/>
            </w:rPr>
          </w:pPr>
          <w:r>
            <w:rPr>
              <w:b/>
              <w:color w:val="999999"/>
              <w:sz w:val="16"/>
              <w:szCs w:val="16"/>
            </w:rPr>
            <w:t>České republiky na rok 2025</w:t>
          </w:r>
        </w:p>
      </w:tc>
      <w:tc>
        <w:tcPr>
          <w:tcW w:w="809" w:type="pct"/>
          <w:tcBorders>
            <w:top w:val="nil"/>
            <w:left w:val="single" w:sz="18" w:space="0" w:color="808080" w:themeColor="background1" w:themeShade="80"/>
            <w:bottom w:val="nil"/>
            <w:right w:val="nil"/>
          </w:tcBorders>
          <w:vAlign w:val="center"/>
        </w:tcPr>
        <w:p w:rsidR="0090243E" w:rsidRPr="006E3BB6" w:rsidRDefault="0090243E" w:rsidP="00B255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60</w:t>
          </w:r>
          <w:r w:rsidRPr="00175F17">
            <w:rPr>
              <w:rStyle w:val="slostrnky"/>
              <w:sz w:val="32"/>
              <w:szCs w:val="32"/>
            </w:rPr>
            <w:fldChar w:fldCharType="end"/>
          </w:r>
        </w:p>
      </w:tc>
    </w:tr>
  </w:tbl>
  <w:p w:rsidR="0090243E" w:rsidRPr="00A12A05" w:rsidRDefault="0090243E" w:rsidP="00A12A05">
    <w:pPr>
      <w:pStyle w:val="Zpa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text" w:horzAnchor="margin" w:tblpY="1"/>
      <w:tblOverlap w:val="never"/>
      <w:tblW w:w="1909" w:type="pct"/>
      <w:tblLook w:val="01E0" w:firstRow="1" w:lastRow="1" w:firstColumn="1" w:lastColumn="1" w:noHBand="0" w:noVBand="0"/>
    </w:tblPr>
    <w:tblGrid>
      <w:gridCol w:w="689"/>
      <w:gridCol w:w="2991"/>
    </w:tblGrid>
    <w:tr w:rsidR="0090243E" w:rsidRPr="00175F17" w:rsidTr="00F6523A">
      <w:trPr>
        <w:cantSplit/>
      </w:trPr>
      <w:tc>
        <w:tcPr>
          <w:tcW w:w="936" w:type="pct"/>
          <w:tcBorders>
            <w:right w:val="single" w:sz="18" w:space="0" w:color="808080" w:themeColor="background1" w:themeShade="80"/>
          </w:tcBorders>
          <w:vAlign w:val="center"/>
        </w:tcPr>
        <w:p w:rsidR="0090243E" w:rsidRPr="006E3BB6" w:rsidRDefault="0090243E" w:rsidP="00B255F4">
          <w:pPr>
            <w:spacing w:after="0"/>
            <w:rPr>
              <w:rStyle w:val="slostrnky"/>
              <w:sz w:val="32"/>
            </w:rPr>
          </w:pPr>
          <w:r w:rsidRPr="00175F17">
            <w:rPr>
              <w:rStyle w:val="slostrnky"/>
              <w:sz w:val="32"/>
              <w:szCs w:val="32"/>
            </w:rPr>
            <w:fldChar w:fldCharType="begin"/>
          </w:r>
          <w:r w:rsidRPr="00175F17">
            <w:rPr>
              <w:rStyle w:val="slostrnky"/>
              <w:sz w:val="32"/>
              <w:szCs w:val="32"/>
            </w:rPr>
            <w:instrText xml:space="preserve"> PAGE </w:instrText>
          </w:r>
          <w:r w:rsidRPr="00175F17">
            <w:rPr>
              <w:rStyle w:val="slostrnky"/>
              <w:sz w:val="32"/>
              <w:szCs w:val="32"/>
            </w:rPr>
            <w:fldChar w:fldCharType="separate"/>
          </w:r>
          <w:r w:rsidR="00597ADA">
            <w:rPr>
              <w:rStyle w:val="slostrnky"/>
              <w:noProof/>
              <w:sz w:val="32"/>
              <w:szCs w:val="32"/>
            </w:rPr>
            <w:t>7</w:t>
          </w:r>
          <w:r w:rsidRPr="00175F17">
            <w:rPr>
              <w:rStyle w:val="slostrnky"/>
              <w:sz w:val="32"/>
              <w:szCs w:val="32"/>
            </w:rPr>
            <w:fldChar w:fldCharType="end"/>
          </w:r>
        </w:p>
      </w:tc>
      <w:tc>
        <w:tcPr>
          <w:tcW w:w="4064" w:type="pct"/>
          <w:tcBorders>
            <w:left w:val="single" w:sz="18" w:space="0" w:color="808080" w:themeColor="background1" w:themeShade="80"/>
          </w:tcBorders>
          <w:shd w:val="clear" w:color="auto" w:fill="auto"/>
          <w:vAlign w:val="center"/>
        </w:tcPr>
        <w:p w:rsidR="0090243E" w:rsidRPr="0017797C" w:rsidRDefault="0090243E" w:rsidP="00B255F4">
          <w:pPr>
            <w:suppressAutoHyphens/>
            <w:spacing w:after="0"/>
            <w:jc w:val="left"/>
            <w:rPr>
              <w:b/>
              <w:noProof/>
              <w:color w:val="999999"/>
              <w:sz w:val="16"/>
              <w:szCs w:val="16"/>
            </w:rPr>
          </w:pPr>
          <w:r w:rsidRPr="00CE734A">
            <w:rPr>
              <w:b/>
              <w:color w:val="999999"/>
              <w:sz w:val="16"/>
              <w:szCs w:val="16"/>
            </w:rPr>
            <w:t>Zpráva k</w:t>
          </w:r>
          <w:r>
            <w:rPr>
              <w:b/>
              <w:color w:val="999999"/>
              <w:sz w:val="16"/>
              <w:szCs w:val="16"/>
            </w:rPr>
            <w:t xml:space="preserve"> návrhu zákona </w:t>
          </w:r>
          <w:r w:rsidRPr="00CE734A">
            <w:rPr>
              <w:b/>
              <w:color w:val="999999"/>
              <w:sz w:val="16"/>
              <w:szCs w:val="16"/>
            </w:rPr>
            <w:t>o státním rozp</w:t>
          </w:r>
          <w:r>
            <w:rPr>
              <w:b/>
              <w:color w:val="999999"/>
              <w:sz w:val="16"/>
              <w:szCs w:val="16"/>
            </w:rPr>
            <w:t>očtu České republiky na rok 2025</w:t>
          </w:r>
        </w:p>
      </w:tc>
    </w:tr>
  </w:tbl>
  <w:p w:rsidR="0090243E" w:rsidRPr="00A12A05" w:rsidRDefault="0090243E" w:rsidP="00A12A0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243E" w:rsidRDefault="0090243E" w:rsidP="004B7539">
      <w:pPr>
        <w:spacing w:after="0"/>
      </w:pPr>
      <w:r>
        <w:separator/>
      </w:r>
    </w:p>
  </w:footnote>
  <w:footnote w:type="continuationSeparator" w:id="0">
    <w:p w:rsidR="0090243E" w:rsidRDefault="0090243E">
      <w:r>
        <w:continuationSeparator/>
      </w:r>
    </w:p>
    <w:p w:rsidR="0090243E" w:rsidRDefault="0090243E"/>
  </w:footnote>
  <w:footnote w:type="continuationNotice" w:id="1">
    <w:p w:rsidR="0090243E" w:rsidRDefault="0090243E">
      <w:pPr>
        <w:spacing w:after="0"/>
      </w:pPr>
    </w:p>
  </w:footnote>
  <w:footnote w:id="2">
    <w:p w:rsidR="0090243E" w:rsidRDefault="0090243E" w:rsidP="002955EA">
      <w:pPr>
        <w:pStyle w:val="Textpoznpodarou"/>
      </w:pPr>
      <w:r>
        <w:rPr>
          <w:rStyle w:val="Znakapoznpodarou"/>
        </w:rPr>
        <w:footnoteRef/>
      </w:r>
      <w:r>
        <w:t xml:space="preserve"> Zbývajících cca 10-13 % příjmů tvoří příjmy z tradičních vlastních zdrojů (cel), které jsou do rozpočtu EU vybírány přímo, a ostatní vlastní příjmy (např. pokuty za porušení pravidel vnitřního trhu). Tyto příjmy nejsou financovány ze státního rozpočtu.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43E" w:rsidRDefault="0090243E">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C4895"/>
    <w:multiLevelType w:val="hybridMultilevel"/>
    <w:tmpl w:val="8C0E7A5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B04516C"/>
    <w:multiLevelType w:val="hybridMultilevel"/>
    <w:tmpl w:val="AFD2AD5E"/>
    <w:lvl w:ilvl="0" w:tplc="594E7B88">
      <w:start w:val="1"/>
      <w:numFmt w:val="bullet"/>
      <w:pStyle w:val="SROdrka1"/>
      <w:lvlText w:val=""/>
      <w:lvlJc w:val="left"/>
      <w:pPr>
        <w:tabs>
          <w:tab w:val="num" w:pos="170"/>
        </w:tabs>
        <w:ind w:left="1078" w:hanging="1078"/>
      </w:pPr>
      <w:rPr>
        <w:rFonts w:ascii="Symbol" w:hAnsi="Symbol" w:hint="default"/>
        <w:strike w:val="0"/>
        <w:color w:val="auto"/>
      </w:rPr>
    </w:lvl>
    <w:lvl w:ilvl="1" w:tplc="9208B2C8">
      <w:start w:val="1"/>
      <w:numFmt w:val="bullet"/>
      <w:pStyle w:val="SROdrka2"/>
      <w:lvlText w:val="o"/>
      <w:lvlJc w:val="left"/>
      <w:pPr>
        <w:tabs>
          <w:tab w:val="num" w:pos="1080"/>
        </w:tabs>
        <w:ind w:left="1080" w:hanging="360"/>
      </w:pPr>
      <w:rPr>
        <w:rFonts w:ascii="Courier New" w:hAnsi="Courier New" w:cs="Courier New" w:hint="default"/>
      </w:r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 w15:restartNumberingAfterBreak="0">
    <w:nsid w:val="16B55CF3"/>
    <w:multiLevelType w:val="hybridMultilevel"/>
    <w:tmpl w:val="64324582"/>
    <w:lvl w:ilvl="0" w:tplc="0405000B">
      <w:start w:val="1"/>
      <w:numFmt w:val="bullet"/>
      <w:lvlText w:val=""/>
      <w:lvlJc w:val="left"/>
      <w:pPr>
        <w:ind w:left="720" w:hanging="360"/>
      </w:pPr>
      <w:rPr>
        <w:rFonts w:ascii="Wingdings" w:hAnsi="Wingdings" w:hint="default"/>
        <w:sz w:val="24"/>
        <w:szCs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9F20243"/>
    <w:multiLevelType w:val="hybridMultilevel"/>
    <w:tmpl w:val="6BF882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C2866FE"/>
    <w:multiLevelType w:val="hybridMultilevel"/>
    <w:tmpl w:val="D116F93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1D1734F1"/>
    <w:multiLevelType w:val="hybridMultilevel"/>
    <w:tmpl w:val="F2D2021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FCC1058"/>
    <w:multiLevelType w:val="hybridMultilevel"/>
    <w:tmpl w:val="860E47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C44047"/>
    <w:multiLevelType w:val="hybridMultilevel"/>
    <w:tmpl w:val="EB8AAC3E"/>
    <w:lvl w:ilvl="0" w:tplc="600ABBD8">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 w15:restartNumberingAfterBreak="0">
    <w:nsid w:val="279E15A6"/>
    <w:multiLevelType w:val="multilevel"/>
    <w:tmpl w:val="4C245760"/>
    <w:lvl w:ilvl="0">
      <w:start w:val="1"/>
      <w:numFmt w:val="decimal"/>
      <w:pStyle w:val="Nadpis1"/>
      <w:lvlText w:val="%1"/>
      <w:lvlJc w:val="left"/>
      <w:pPr>
        <w:tabs>
          <w:tab w:val="num" w:pos="567"/>
        </w:tabs>
        <w:ind w:left="567" w:hanging="567"/>
      </w:pPr>
      <w:rPr>
        <w:rFonts w:ascii="Calibri" w:hAnsi="Calibri" w:hint="default"/>
        <w:color w:val="auto"/>
      </w:rPr>
    </w:lvl>
    <w:lvl w:ilvl="1">
      <w:start w:val="1"/>
      <w:numFmt w:val="decimal"/>
      <w:pStyle w:val="Nadpis2"/>
      <w:lvlText w:val="%1.%2"/>
      <w:lvlJc w:val="left"/>
      <w:pPr>
        <w:tabs>
          <w:tab w:val="num" w:pos="1135"/>
        </w:tabs>
        <w:ind w:left="1135" w:hanging="567"/>
      </w:pPr>
      <w:rPr>
        <w:rFonts w:hint="default"/>
        <w:b/>
      </w:rPr>
    </w:lvl>
    <w:lvl w:ilvl="2">
      <w:start w:val="1"/>
      <w:numFmt w:val="decimal"/>
      <w:pStyle w:val="Nadpis3"/>
      <w:lvlText w:val="%1.%2.%3"/>
      <w:lvlJc w:val="left"/>
      <w:pPr>
        <w:tabs>
          <w:tab w:val="num" w:pos="2138"/>
        </w:tabs>
        <w:ind w:left="2138"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7A63B0A"/>
    <w:multiLevelType w:val="hybridMultilevel"/>
    <w:tmpl w:val="7A1E5F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CE92444"/>
    <w:multiLevelType w:val="hybridMultilevel"/>
    <w:tmpl w:val="130E73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39B7966"/>
    <w:multiLevelType w:val="hybridMultilevel"/>
    <w:tmpl w:val="21621778"/>
    <w:lvl w:ilvl="0" w:tplc="27EE6420">
      <w:start w:val="1"/>
      <w:numFmt w:val="bullet"/>
      <w:lvlText w:val=""/>
      <w:lvlJc w:val="left"/>
      <w:pPr>
        <w:ind w:left="720" w:hanging="360"/>
      </w:pPr>
      <w:rPr>
        <w:rFonts w:ascii="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651619E"/>
    <w:multiLevelType w:val="hybridMultilevel"/>
    <w:tmpl w:val="629EE316"/>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3" w15:restartNumberingAfterBreak="0">
    <w:nsid w:val="48802A12"/>
    <w:multiLevelType w:val="hybridMultilevel"/>
    <w:tmpl w:val="3F3AF7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1F57B9B"/>
    <w:multiLevelType w:val="hybridMultilevel"/>
    <w:tmpl w:val="8C4819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7762462"/>
    <w:multiLevelType w:val="hybridMultilevel"/>
    <w:tmpl w:val="B32C2EE2"/>
    <w:lvl w:ilvl="0" w:tplc="2B56D00E">
      <w:start w:val="1"/>
      <w:numFmt w:val="bullet"/>
      <w:pStyle w:val="Styl1mmmmm"/>
      <w:lvlText w:val=""/>
      <w:lvlJc w:val="left"/>
      <w:pPr>
        <w:tabs>
          <w:tab w:val="num" w:pos="1560"/>
        </w:tabs>
        <w:ind w:left="1758" w:hanging="197"/>
      </w:pPr>
      <w:rPr>
        <w:rFonts w:ascii="Symbol" w:hAnsi="Symbol" w:hint="default"/>
      </w:rPr>
    </w:lvl>
    <w:lvl w:ilvl="1" w:tplc="04050003" w:tentative="1">
      <w:start w:val="1"/>
      <w:numFmt w:val="bullet"/>
      <w:lvlText w:val="o"/>
      <w:lvlJc w:val="left"/>
      <w:pPr>
        <w:tabs>
          <w:tab w:val="num" w:pos="1724"/>
        </w:tabs>
        <w:ind w:left="1724" w:hanging="360"/>
      </w:pPr>
      <w:rPr>
        <w:rFonts w:ascii="Courier New" w:hAnsi="Courier New" w:cs="Courier New" w:hint="default"/>
      </w:rPr>
    </w:lvl>
    <w:lvl w:ilvl="2" w:tplc="04050005" w:tentative="1">
      <w:start w:val="1"/>
      <w:numFmt w:val="bullet"/>
      <w:lvlText w:val=""/>
      <w:lvlJc w:val="left"/>
      <w:pPr>
        <w:tabs>
          <w:tab w:val="num" w:pos="2444"/>
        </w:tabs>
        <w:ind w:left="2444" w:hanging="360"/>
      </w:pPr>
      <w:rPr>
        <w:rFonts w:ascii="Wingdings" w:hAnsi="Wingdings" w:hint="default"/>
      </w:rPr>
    </w:lvl>
    <w:lvl w:ilvl="3" w:tplc="04050001" w:tentative="1">
      <w:start w:val="1"/>
      <w:numFmt w:val="bullet"/>
      <w:lvlText w:val=""/>
      <w:lvlJc w:val="left"/>
      <w:pPr>
        <w:tabs>
          <w:tab w:val="num" w:pos="3164"/>
        </w:tabs>
        <w:ind w:left="3164" w:hanging="360"/>
      </w:pPr>
      <w:rPr>
        <w:rFonts w:ascii="Symbol" w:hAnsi="Symbol" w:hint="default"/>
      </w:rPr>
    </w:lvl>
    <w:lvl w:ilvl="4" w:tplc="04050003" w:tentative="1">
      <w:start w:val="1"/>
      <w:numFmt w:val="bullet"/>
      <w:lvlText w:val="o"/>
      <w:lvlJc w:val="left"/>
      <w:pPr>
        <w:tabs>
          <w:tab w:val="num" w:pos="3884"/>
        </w:tabs>
        <w:ind w:left="3884" w:hanging="360"/>
      </w:pPr>
      <w:rPr>
        <w:rFonts w:ascii="Courier New" w:hAnsi="Courier New" w:cs="Courier New" w:hint="default"/>
      </w:rPr>
    </w:lvl>
    <w:lvl w:ilvl="5" w:tplc="04050005" w:tentative="1">
      <w:start w:val="1"/>
      <w:numFmt w:val="bullet"/>
      <w:lvlText w:val=""/>
      <w:lvlJc w:val="left"/>
      <w:pPr>
        <w:tabs>
          <w:tab w:val="num" w:pos="4604"/>
        </w:tabs>
        <w:ind w:left="4604" w:hanging="360"/>
      </w:pPr>
      <w:rPr>
        <w:rFonts w:ascii="Wingdings" w:hAnsi="Wingdings" w:hint="default"/>
      </w:rPr>
    </w:lvl>
    <w:lvl w:ilvl="6" w:tplc="04050001" w:tentative="1">
      <w:start w:val="1"/>
      <w:numFmt w:val="bullet"/>
      <w:lvlText w:val=""/>
      <w:lvlJc w:val="left"/>
      <w:pPr>
        <w:tabs>
          <w:tab w:val="num" w:pos="5324"/>
        </w:tabs>
        <w:ind w:left="5324" w:hanging="360"/>
      </w:pPr>
      <w:rPr>
        <w:rFonts w:ascii="Symbol" w:hAnsi="Symbol" w:hint="default"/>
      </w:rPr>
    </w:lvl>
    <w:lvl w:ilvl="7" w:tplc="04050003" w:tentative="1">
      <w:start w:val="1"/>
      <w:numFmt w:val="bullet"/>
      <w:lvlText w:val="o"/>
      <w:lvlJc w:val="left"/>
      <w:pPr>
        <w:tabs>
          <w:tab w:val="num" w:pos="6044"/>
        </w:tabs>
        <w:ind w:left="6044" w:hanging="360"/>
      </w:pPr>
      <w:rPr>
        <w:rFonts w:ascii="Courier New" w:hAnsi="Courier New" w:cs="Courier New" w:hint="default"/>
      </w:rPr>
    </w:lvl>
    <w:lvl w:ilvl="8" w:tplc="0405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5CC9639E"/>
    <w:multiLevelType w:val="multilevel"/>
    <w:tmpl w:val="DF30E1C8"/>
    <w:styleLink w:val="StylSodrkami"/>
    <w:lvl w:ilvl="0">
      <w:start w:val="1"/>
      <w:numFmt w:val="bullet"/>
      <w:lvlText w:val="−"/>
      <w:lvlJc w:val="left"/>
      <w:pPr>
        <w:tabs>
          <w:tab w:val="num" w:pos="720"/>
        </w:tabs>
        <w:ind w:left="720" w:hanging="360"/>
      </w:pPr>
      <w:rPr>
        <w:rFonts w:ascii="Calibri" w:hAnsi="Calibri"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783B01"/>
    <w:multiLevelType w:val="hybridMultilevel"/>
    <w:tmpl w:val="CAD4AC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8" w15:restartNumberingAfterBreak="0">
    <w:nsid w:val="6F486830"/>
    <w:multiLevelType w:val="hybridMultilevel"/>
    <w:tmpl w:val="77486C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0314BB2"/>
    <w:multiLevelType w:val="hybridMultilevel"/>
    <w:tmpl w:val="435A4E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49F4DE4"/>
    <w:multiLevelType w:val="hybridMultilevel"/>
    <w:tmpl w:val="D6A87A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A014842"/>
    <w:multiLevelType w:val="multilevel"/>
    <w:tmpl w:val="5330EC4A"/>
    <w:lvl w:ilvl="0">
      <w:start w:val="1"/>
      <w:numFmt w:val="upperLetter"/>
      <w:pStyle w:val="NadpisAB"/>
      <w:lvlText w:val="%1"/>
      <w:lvlJc w:val="left"/>
      <w:pPr>
        <w:tabs>
          <w:tab w:val="num" w:pos="567"/>
        </w:tabs>
        <w:ind w:left="567" w:hanging="567"/>
      </w:pPr>
      <w:rPr>
        <w:rFonts w:ascii="Calibri" w:hAnsi="Calibri" w:hint="default"/>
        <w:color w:val="auto"/>
      </w:rPr>
    </w:lvl>
    <w:lvl w:ilvl="1">
      <w:start w:val="1"/>
      <w:numFmt w:val="decimal"/>
      <w:lvlText w:val="%1.%2"/>
      <w:lvlJc w:val="left"/>
      <w:pPr>
        <w:tabs>
          <w:tab w:val="num" w:pos="567"/>
        </w:tabs>
        <w:ind w:left="567" w:hanging="567"/>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D55727B"/>
    <w:multiLevelType w:val="hybridMultilevel"/>
    <w:tmpl w:val="0CE06802"/>
    <w:lvl w:ilvl="0" w:tplc="04050001">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21"/>
  </w:num>
  <w:num w:numId="4">
    <w:abstractNumId w:val="15"/>
  </w:num>
  <w:num w:numId="5">
    <w:abstractNumId w:val="1"/>
  </w:num>
  <w:num w:numId="6">
    <w:abstractNumId w:val="5"/>
  </w:num>
  <w:num w:numId="7">
    <w:abstractNumId w:val="20"/>
  </w:num>
  <w:num w:numId="8">
    <w:abstractNumId w:val="1"/>
  </w:num>
  <w:num w:numId="9">
    <w:abstractNumId w:val="14"/>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
  </w:num>
  <w:num w:numId="15">
    <w:abstractNumId w:val="1"/>
  </w:num>
  <w:num w:numId="16">
    <w:abstractNumId w:val="1"/>
  </w:num>
  <w:num w:numId="17">
    <w:abstractNumId w:val="17"/>
  </w:num>
  <w:num w:numId="18">
    <w:abstractNumId w:val="2"/>
  </w:num>
  <w:num w:numId="19">
    <w:abstractNumId w:val="12"/>
  </w:num>
  <w:num w:numId="20">
    <w:abstractNumId w:val="8"/>
  </w:num>
  <w:num w:numId="21">
    <w:abstractNumId w:val="8"/>
  </w:num>
  <w:num w:numId="22">
    <w:abstractNumId w:val="8"/>
  </w:num>
  <w:num w:numId="23">
    <w:abstractNumId w:val="8"/>
  </w:num>
  <w:num w:numId="24">
    <w:abstractNumId w:val="0"/>
  </w:num>
  <w:num w:numId="25">
    <w:abstractNumId w:val="13"/>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8"/>
  </w:num>
  <w:num w:numId="29">
    <w:abstractNumId w:val="8"/>
  </w:num>
  <w:num w:numId="30">
    <w:abstractNumId w:val="8"/>
  </w:num>
  <w:num w:numId="31">
    <w:abstractNumId w:val="8"/>
  </w:num>
  <w:num w:numId="32">
    <w:abstractNumId w:val="8"/>
  </w:num>
  <w:num w:numId="33">
    <w:abstractNumId w:val="8"/>
  </w:num>
  <w:num w:numId="34">
    <w:abstractNumId w:val="8"/>
  </w:num>
  <w:num w:numId="35">
    <w:abstractNumId w:val="22"/>
  </w:num>
  <w:num w:numId="36">
    <w:abstractNumId w:val="11"/>
  </w:num>
  <w:num w:numId="37">
    <w:abstractNumId w:val="18"/>
  </w:num>
  <w:num w:numId="38">
    <w:abstractNumId w:val="6"/>
  </w:num>
  <w:num w:numId="39">
    <w:abstractNumId w:val="10"/>
  </w:num>
  <w:num w:numId="40">
    <w:abstractNumId w:val="3"/>
  </w:num>
  <w:num w:numId="41">
    <w:abstractNumId w:val="19"/>
  </w:num>
  <w:num w:numId="42">
    <w:abstractNumId w:val="9"/>
  </w:num>
  <w:num w:numId="43">
    <w:abstractNumId w:val="1"/>
  </w:num>
  <w:num w:numId="44">
    <w:abstractNumId w:val="1"/>
  </w:num>
  <w:num w:numId="45">
    <w:abstractNumId w:val="1"/>
  </w:num>
  <w:num w:numId="46">
    <w:abstractNumId w:val="1"/>
  </w:num>
  <w:num w:numId="47">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activeWritingStyle w:appName="MSWord" w:lang="en-GB" w:vendorID="64" w:dllVersion="131078" w:nlCheck="1" w:checkStyle="0"/>
  <w:activeWritingStyle w:appName="MSWord" w:lang="en-US" w:vendorID="64" w:dllVersion="131078" w:nlCheck="1" w:checkStyle="0"/>
  <w:stylePaneFormatFilter w:val="1808" w:allStyles="0" w:customStyles="0" w:latentStyles="0" w:stylesInUse="1" w:headingStyles="0" w:numberingStyles="0" w:tableStyles="0" w:directFormattingOnRuns="0" w:directFormattingOnParagraphs="0" w:directFormattingOnNumbering="0" w:directFormattingOnTables="1" w:clearFormatting="1" w:top3HeadingStyles="0" w:visibleStyles="0" w:alternateStyleNames="0"/>
  <w:stylePaneSortMethod w:val="0000"/>
  <w:documentProtection w:edit="forms" w:enforcement="0"/>
  <w:defaultTabStop w:val="709"/>
  <w:autoHyphenation/>
  <w:consecutiveHyphenLimit w:val="2"/>
  <w:hyphenationZone w:val="425"/>
  <w:evenAndOddHeaders/>
  <w:doNotShadeFormData/>
  <w:characterSpacingControl w:val="doNotCompress"/>
  <w:hdrShapeDefaults>
    <o:shapedefaults v:ext="edit" spidmax="15361" strokecolor="#31527b">
      <v:stroke endarrow="open" color="#31527b" weight="1.5pt"/>
      <o:colormru v:ext="edit" colors="#99597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5F17"/>
    <w:rsid w:val="0000019B"/>
    <w:rsid w:val="000001AA"/>
    <w:rsid w:val="000001FB"/>
    <w:rsid w:val="00000669"/>
    <w:rsid w:val="00001159"/>
    <w:rsid w:val="00001569"/>
    <w:rsid w:val="000017D2"/>
    <w:rsid w:val="00001A34"/>
    <w:rsid w:val="00001BDB"/>
    <w:rsid w:val="00001E20"/>
    <w:rsid w:val="0000208E"/>
    <w:rsid w:val="000022F4"/>
    <w:rsid w:val="00002301"/>
    <w:rsid w:val="000023CE"/>
    <w:rsid w:val="000024F2"/>
    <w:rsid w:val="000028F8"/>
    <w:rsid w:val="000029E6"/>
    <w:rsid w:val="000029EF"/>
    <w:rsid w:val="00002AF3"/>
    <w:rsid w:val="00002D37"/>
    <w:rsid w:val="000030D2"/>
    <w:rsid w:val="00003C79"/>
    <w:rsid w:val="00004468"/>
    <w:rsid w:val="00004803"/>
    <w:rsid w:val="00004C9C"/>
    <w:rsid w:val="00005363"/>
    <w:rsid w:val="00005366"/>
    <w:rsid w:val="000054DF"/>
    <w:rsid w:val="0000571D"/>
    <w:rsid w:val="0000598C"/>
    <w:rsid w:val="00005A2A"/>
    <w:rsid w:val="00005A64"/>
    <w:rsid w:val="00005F57"/>
    <w:rsid w:val="000062DF"/>
    <w:rsid w:val="00006492"/>
    <w:rsid w:val="00006536"/>
    <w:rsid w:val="0000675C"/>
    <w:rsid w:val="000069EC"/>
    <w:rsid w:val="00006D27"/>
    <w:rsid w:val="00006E0F"/>
    <w:rsid w:val="00007069"/>
    <w:rsid w:val="00007221"/>
    <w:rsid w:val="0000723B"/>
    <w:rsid w:val="00007ACB"/>
    <w:rsid w:val="00010437"/>
    <w:rsid w:val="0001044A"/>
    <w:rsid w:val="000106F2"/>
    <w:rsid w:val="000108BF"/>
    <w:rsid w:val="00010C58"/>
    <w:rsid w:val="00010C64"/>
    <w:rsid w:val="00010E98"/>
    <w:rsid w:val="00010F62"/>
    <w:rsid w:val="000112F3"/>
    <w:rsid w:val="00011561"/>
    <w:rsid w:val="00011CE0"/>
    <w:rsid w:val="000120C8"/>
    <w:rsid w:val="0001212F"/>
    <w:rsid w:val="0001235E"/>
    <w:rsid w:val="0001237F"/>
    <w:rsid w:val="00012F9E"/>
    <w:rsid w:val="000133BD"/>
    <w:rsid w:val="00013EEA"/>
    <w:rsid w:val="00013EEE"/>
    <w:rsid w:val="0001400F"/>
    <w:rsid w:val="0001406B"/>
    <w:rsid w:val="000144DF"/>
    <w:rsid w:val="0001450B"/>
    <w:rsid w:val="000147A6"/>
    <w:rsid w:val="000147F2"/>
    <w:rsid w:val="00014F87"/>
    <w:rsid w:val="00015062"/>
    <w:rsid w:val="000152AA"/>
    <w:rsid w:val="0001595E"/>
    <w:rsid w:val="00015BB3"/>
    <w:rsid w:val="00015DD6"/>
    <w:rsid w:val="000160C2"/>
    <w:rsid w:val="0001615D"/>
    <w:rsid w:val="000162ED"/>
    <w:rsid w:val="0001693C"/>
    <w:rsid w:val="00016D0F"/>
    <w:rsid w:val="000170CA"/>
    <w:rsid w:val="0001725B"/>
    <w:rsid w:val="0001725D"/>
    <w:rsid w:val="00017B25"/>
    <w:rsid w:val="00017EBA"/>
    <w:rsid w:val="0002010F"/>
    <w:rsid w:val="00020225"/>
    <w:rsid w:val="0002055B"/>
    <w:rsid w:val="0002076F"/>
    <w:rsid w:val="000207A3"/>
    <w:rsid w:val="00020E34"/>
    <w:rsid w:val="000213DA"/>
    <w:rsid w:val="00021A67"/>
    <w:rsid w:val="00021C80"/>
    <w:rsid w:val="00021EB0"/>
    <w:rsid w:val="00022191"/>
    <w:rsid w:val="00022370"/>
    <w:rsid w:val="000224AC"/>
    <w:rsid w:val="00022A03"/>
    <w:rsid w:val="00023827"/>
    <w:rsid w:val="000238F5"/>
    <w:rsid w:val="00023C00"/>
    <w:rsid w:val="000241C0"/>
    <w:rsid w:val="0002433D"/>
    <w:rsid w:val="0002438F"/>
    <w:rsid w:val="0002475E"/>
    <w:rsid w:val="00024CF6"/>
    <w:rsid w:val="00025422"/>
    <w:rsid w:val="000254A6"/>
    <w:rsid w:val="00025740"/>
    <w:rsid w:val="000257EE"/>
    <w:rsid w:val="00025B00"/>
    <w:rsid w:val="00025C18"/>
    <w:rsid w:val="00025DE0"/>
    <w:rsid w:val="00025E18"/>
    <w:rsid w:val="00025F1C"/>
    <w:rsid w:val="00026202"/>
    <w:rsid w:val="000264B7"/>
    <w:rsid w:val="0002654D"/>
    <w:rsid w:val="00026BBC"/>
    <w:rsid w:val="00026D05"/>
    <w:rsid w:val="000271D5"/>
    <w:rsid w:val="000273F6"/>
    <w:rsid w:val="00027437"/>
    <w:rsid w:val="00027966"/>
    <w:rsid w:val="000279D1"/>
    <w:rsid w:val="00027B97"/>
    <w:rsid w:val="00027D51"/>
    <w:rsid w:val="00027DBB"/>
    <w:rsid w:val="0003007F"/>
    <w:rsid w:val="000305FD"/>
    <w:rsid w:val="000309D8"/>
    <w:rsid w:val="000309EE"/>
    <w:rsid w:val="00030E28"/>
    <w:rsid w:val="00030E50"/>
    <w:rsid w:val="00031038"/>
    <w:rsid w:val="0003109D"/>
    <w:rsid w:val="00031724"/>
    <w:rsid w:val="00031F0E"/>
    <w:rsid w:val="00032079"/>
    <w:rsid w:val="000322DA"/>
    <w:rsid w:val="00032AE5"/>
    <w:rsid w:val="00032FFA"/>
    <w:rsid w:val="00033964"/>
    <w:rsid w:val="00033A4F"/>
    <w:rsid w:val="00033F7C"/>
    <w:rsid w:val="00033FFC"/>
    <w:rsid w:val="00034414"/>
    <w:rsid w:val="0003445F"/>
    <w:rsid w:val="0003469F"/>
    <w:rsid w:val="000347BE"/>
    <w:rsid w:val="000347D0"/>
    <w:rsid w:val="000347F4"/>
    <w:rsid w:val="00034AB5"/>
    <w:rsid w:val="00034B0D"/>
    <w:rsid w:val="00034BB2"/>
    <w:rsid w:val="00034FF8"/>
    <w:rsid w:val="000350B2"/>
    <w:rsid w:val="0003520B"/>
    <w:rsid w:val="00035475"/>
    <w:rsid w:val="0003553C"/>
    <w:rsid w:val="0003575F"/>
    <w:rsid w:val="00035A7C"/>
    <w:rsid w:val="00035B0F"/>
    <w:rsid w:val="00035CEE"/>
    <w:rsid w:val="00035F0D"/>
    <w:rsid w:val="000362E5"/>
    <w:rsid w:val="00036421"/>
    <w:rsid w:val="00036707"/>
    <w:rsid w:val="0003676C"/>
    <w:rsid w:val="00036BFA"/>
    <w:rsid w:val="00036C8F"/>
    <w:rsid w:val="00036D3E"/>
    <w:rsid w:val="00036DBA"/>
    <w:rsid w:val="00036F55"/>
    <w:rsid w:val="00037051"/>
    <w:rsid w:val="000371C5"/>
    <w:rsid w:val="00037239"/>
    <w:rsid w:val="0003792A"/>
    <w:rsid w:val="0003796E"/>
    <w:rsid w:val="00037D61"/>
    <w:rsid w:val="00040065"/>
    <w:rsid w:val="000400B8"/>
    <w:rsid w:val="0004073C"/>
    <w:rsid w:val="000408C6"/>
    <w:rsid w:val="00040EAF"/>
    <w:rsid w:val="00040EEC"/>
    <w:rsid w:val="000411FA"/>
    <w:rsid w:val="0004168A"/>
    <w:rsid w:val="000416AA"/>
    <w:rsid w:val="00041895"/>
    <w:rsid w:val="0004236F"/>
    <w:rsid w:val="00042895"/>
    <w:rsid w:val="00042B26"/>
    <w:rsid w:val="000430B1"/>
    <w:rsid w:val="0004313C"/>
    <w:rsid w:val="000436C5"/>
    <w:rsid w:val="00043913"/>
    <w:rsid w:val="00043A87"/>
    <w:rsid w:val="00043E8B"/>
    <w:rsid w:val="00044273"/>
    <w:rsid w:val="00044283"/>
    <w:rsid w:val="000442E7"/>
    <w:rsid w:val="000445FD"/>
    <w:rsid w:val="00044691"/>
    <w:rsid w:val="00044A05"/>
    <w:rsid w:val="00044FB2"/>
    <w:rsid w:val="00044FD6"/>
    <w:rsid w:val="000452F8"/>
    <w:rsid w:val="0004535D"/>
    <w:rsid w:val="000457EE"/>
    <w:rsid w:val="00045A1E"/>
    <w:rsid w:val="00045ABD"/>
    <w:rsid w:val="00045B18"/>
    <w:rsid w:val="0004632A"/>
    <w:rsid w:val="000464A4"/>
    <w:rsid w:val="000466AC"/>
    <w:rsid w:val="00046BE1"/>
    <w:rsid w:val="00047A23"/>
    <w:rsid w:val="00047A4E"/>
    <w:rsid w:val="00050343"/>
    <w:rsid w:val="00050418"/>
    <w:rsid w:val="00050885"/>
    <w:rsid w:val="00050CD9"/>
    <w:rsid w:val="00050D5A"/>
    <w:rsid w:val="00050F88"/>
    <w:rsid w:val="00051038"/>
    <w:rsid w:val="0005104B"/>
    <w:rsid w:val="00051555"/>
    <w:rsid w:val="000517EB"/>
    <w:rsid w:val="0005180B"/>
    <w:rsid w:val="00051B49"/>
    <w:rsid w:val="00051FF8"/>
    <w:rsid w:val="0005262C"/>
    <w:rsid w:val="00052AAB"/>
    <w:rsid w:val="00053F95"/>
    <w:rsid w:val="00054055"/>
    <w:rsid w:val="00054227"/>
    <w:rsid w:val="000545AE"/>
    <w:rsid w:val="000547F0"/>
    <w:rsid w:val="000549DC"/>
    <w:rsid w:val="00054C08"/>
    <w:rsid w:val="00054D5B"/>
    <w:rsid w:val="00054EF0"/>
    <w:rsid w:val="00055276"/>
    <w:rsid w:val="000552E2"/>
    <w:rsid w:val="00055515"/>
    <w:rsid w:val="00055519"/>
    <w:rsid w:val="00055857"/>
    <w:rsid w:val="0005585F"/>
    <w:rsid w:val="00055906"/>
    <w:rsid w:val="00055CE6"/>
    <w:rsid w:val="00056247"/>
    <w:rsid w:val="00056547"/>
    <w:rsid w:val="0005659D"/>
    <w:rsid w:val="00056622"/>
    <w:rsid w:val="00056ACD"/>
    <w:rsid w:val="000574C4"/>
    <w:rsid w:val="00057ADD"/>
    <w:rsid w:val="00060271"/>
    <w:rsid w:val="00060534"/>
    <w:rsid w:val="000610C7"/>
    <w:rsid w:val="00061337"/>
    <w:rsid w:val="00061967"/>
    <w:rsid w:val="00061B2F"/>
    <w:rsid w:val="00061CFD"/>
    <w:rsid w:val="00061E40"/>
    <w:rsid w:val="00061F25"/>
    <w:rsid w:val="0006215E"/>
    <w:rsid w:val="0006229D"/>
    <w:rsid w:val="00062B0C"/>
    <w:rsid w:val="00062CD1"/>
    <w:rsid w:val="000630CA"/>
    <w:rsid w:val="000631A3"/>
    <w:rsid w:val="000632BE"/>
    <w:rsid w:val="00063A06"/>
    <w:rsid w:val="00063A25"/>
    <w:rsid w:val="00063B70"/>
    <w:rsid w:val="00063EAD"/>
    <w:rsid w:val="00063F5A"/>
    <w:rsid w:val="00064668"/>
    <w:rsid w:val="000647A0"/>
    <w:rsid w:val="00064A6D"/>
    <w:rsid w:val="0006560A"/>
    <w:rsid w:val="0006587E"/>
    <w:rsid w:val="00065D4E"/>
    <w:rsid w:val="00066051"/>
    <w:rsid w:val="0006640B"/>
    <w:rsid w:val="0006653D"/>
    <w:rsid w:val="000668F0"/>
    <w:rsid w:val="0006695E"/>
    <w:rsid w:val="00067350"/>
    <w:rsid w:val="000676CB"/>
    <w:rsid w:val="00067796"/>
    <w:rsid w:val="00067C4E"/>
    <w:rsid w:val="00067E7F"/>
    <w:rsid w:val="0007007F"/>
    <w:rsid w:val="000702A3"/>
    <w:rsid w:val="000703CB"/>
    <w:rsid w:val="000704B0"/>
    <w:rsid w:val="000705C1"/>
    <w:rsid w:val="0007084B"/>
    <w:rsid w:val="00070CF7"/>
    <w:rsid w:val="00070DF6"/>
    <w:rsid w:val="000710CA"/>
    <w:rsid w:val="000714D8"/>
    <w:rsid w:val="00071AAB"/>
    <w:rsid w:val="00071CAD"/>
    <w:rsid w:val="00071EFB"/>
    <w:rsid w:val="000723FF"/>
    <w:rsid w:val="000726B6"/>
    <w:rsid w:val="00072797"/>
    <w:rsid w:val="000727D8"/>
    <w:rsid w:val="0007287E"/>
    <w:rsid w:val="0007291B"/>
    <w:rsid w:val="00072A5D"/>
    <w:rsid w:val="00072AFB"/>
    <w:rsid w:val="00072E00"/>
    <w:rsid w:val="00072E99"/>
    <w:rsid w:val="0007317A"/>
    <w:rsid w:val="00073B8D"/>
    <w:rsid w:val="00073ED3"/>
    <w:rsid w:val="000745CE"/>
    <w:rsid w:val="000749CA"/>
    <w:rsid w:val="000751EA"/>
    <w:rsid w:val="000755EA"/>
    <w:rsid w:val="00075627"/>
    <w:rsid w:val="00075A9D"/>
    <w:rsid w:val="00075CB0"/>
    <w:rsid w:val="00075EEF"/>
    <w:rsid w:val="0007618A"/>
    <w:rsid w:val="000761DE"/>
    <w:rsid w:val="000762E6"/>
    <w:rsid w:val="00076658"/>
    <w:rsid w:val="00076A61"/>
    <w:rsid w:val="00076B06"/>
    <w:rsid w:val="00076CFE"/>
    <w:rsid w:val="00076FF7"/>
    <w:rsid w:val="0007753A"/>
    <w:rsid w:val="000775A7"/>
    <w:rsid w:val="00077752"/>
    <w:rsid w:val="0007797D"/>
    <w:rsid w:val="00077CA3"/>
    <w:rsid w:val="00080067"/>
    <w:rsid w:val="00080280"/>
    <w:rsid w:val="000802D7"/>
    <w:rsid w:val="00080542"/>
    <w:rsid w:val="00080C8F"/>
    <w:rsid w:val="000811B0"/>
    <w:rsid w:val="00081A57"/>
    <w:rsid w:val="00081A67"/>
    <w:rsid w:val="00082F1B"/>
    <w:rsid w:val="0008312C"/>
    <w:rsid w:val="000835E8"/>
    <w:rsid w:val="000836A9"/>
    <w:rsid w:val="00083B05"/>
    <w:rsid w:val="00083EFC"/>
    <w:rsid w:val="00084129"/>
    <w:rsid w:val="000842CD"/>
    <w:rsid w:val="00084AC2"/>
    <w:rsid w:val="00084E06"/>
    <w:rsid w:val="00085078"/>
    <w:rsid w:val="000856A0"/>
    <w:rsid w:val="000862D1"/>
    <w:rsid w:val="000865A0"/>
    <w:rsid w:val="00086973"/>
    <w:rsid w:val="00086CCE"/>
    <w:rsid w:val="00086F93"/>
    <w:rsid w:val="0008781A"/>
    <w:rsid w:val="00087B4D"/>
    <w:rsid w:val="00087BF5"/>
    <w:rsid w:val="00087F13"/>
    <w:rsid w:val="00090071"/>
    <w:rsid w:val="0009053C"/>
    <w:rsid w:val="000905C0"/>
    <w:rsid w:val="00090897"/>
    <w:rsid w:val="00090C49"/>
    <w:rsid w:val="000913BF"/>
    <w:rsid w:val="00091661"/>
    <w:rsid w:val="00091793"/>
    <w:rsid w:val="00091E20"/>
    <w:rsid w:val="000923DE"/>
    <w:rsid w:val="00092A1B"/>
    <w:rsid w:val="00092E1C"/>
    <w:rsid w:val="00093221"/>
    <w:rsid w:val="00093490"/>
    <w:rsid w:val="000936EF"/>
    <w:rsid w:val="000939F1"/>
    <w:rsid w:val="00093D04"/>
    <w:rsid w:val="00093D21"/>
    <w:rsid w:val="00093FA6"/>
    <w:rsid w:val="0009411E"/>
    <w:rsid w:val="00094277"/>
    <w:rsid w:val="000945C2"/>
    <w:rsid w:val="0009497F"/>
    <w:rsid w:val="000949A7"/>
    <w:rsid w:val="000952DB"/>
    <w:rsid w:val="0009585A"/>
    <w:rsid w:val="00095BDE"/>
    <w:rsid w:val="00095C9B"/>
    <w:rsid w:val="00095E19"/>
    <w:rsid w:val="00095F0B"/>
    <w:rsid w:val="00096AD7"/>
    <w:rsid w:val="000974D5"/>
    <w:rsid w:val="00097580"/>
    <w:rsid w:val="000976BD"/>
    <w:rsid w:val="00097C07"/>
    <w:rsid w:val="000A0A1C"/>
    <w:rsid w:val="000A0A32"/>
    <w:rsid w:val="000A0CC0"/>
    <w:rsid w:val="000A0F1F"/>
    <w:rsid w:val="000A108C"/>
    <w:rsid w:val="000A121E"/>
    <w:rsid w:val="000A1720"/>
    <w:rsid w:val="000A1E3D"/>
    <w:rsid w:val="000A1EA7"/>
    <w:rsid w:val="000A228D"/>
    <w:rsid w:val="000A2961"/>
    <w:rsid w:val="000A2AAD"/>
    <w:rsid w:val="000A2D43"/>
    <w:rsid w:val="000A3466"/>
    <w:rsid w:val="000A3664"/>
    <w:rsid w:val="000A399C"/>
    <w:rsid w:val="000A39F0"/>
    <w:rsid w:val="000A3A68"/>
    <w:rsid w:val="000A3A7E"/>
    <w:rsid w:val="000A3A86"/>
    <w:rsid w:val="000A3E7F"/>
    <w:rsid w:val="000A3FF9"/>
    <w:rsid w:val="000A40EF"/>
    <w:rsid w:val="000A44B8"/>
    <w:rsid w:val="000A45D1"/>
    <w:rsid w:val="000A48EE"/>
    <w:rsid w:val="000A4E33"/>
    <w:rsid w:val="000A5036"/>
    <w:rsid w:val="000A51EB"/>
    <w:rsid w:val="000A5233"/>
    <w:rsid w:val="000A5444"/>
    <w:rsid w:val="000A54FB"/>
    <w:rsid w:val="000A5944"/>
    <w:rsid w:val="000A5D08"/>
    <w:rsid w:val="000A5D53"/>
    <w:rsid w:val="000A5E4C"/>
    <w:rsid w:val="000A5FAD"/>
    <w:rsid w:val="000A60BB"/>
    <w:rsid w:val="000A6E12"/>
    <w:rsid w:val="000A7105"/>
    <w:rsid w:val="000A74E3"/>
    <w:rsid w:val="000A76DF"/>
    <w:rsid w:val="000A7CC7"/>
    <w:rsid w:val="000A7D26"/>
    <w:rsid w:val="000B00DF"/>
    <w:rsid w:val="000B015F"/>
    <w:rsid w:val="000B0192"/>
    <w:rsid w:val="000B019A"/>
    <w:rsid w:val="000B0329"/>
    <w:rsid w:val="000B03FE"/>
    <w:rsid w:val="000B042E"/>
    <w:rsid w:val="000B0449"/>
    <w:rsid w:val="000B0562"/>
    <w:rsid w:val="000B0738"/>
    <w:rsid w:val="000B099D"/>
    <w:rsid w:val="000B0F1C"/>
    <w:rsid w:val="000B1353"/>
    <w:rsid w:val="000B139C"/>
    <w:rsid w:val="000B168D"/>
    <w:rsid w:val="000B1A59"/>
    <w:rsid w:val="000B1FE8"/>
    <w:rsid w:val="000B2328"/>
    <w:rsid w:val="000B273F"/>
    <w:rsid w:val="000B2795"/>
    <w:rsid w:val="000B2B17"/>
    <w:rsid w:val="000B2C25"/>
    <w:rsid w:val="000B3B1C"/>
    <w:rsid w:val="000B3FC8"/>
    <w:rsid w:val="000B46AB"/>
    <w:rsid w:val="000B4959"/>
    <w:rsid w:val="000B542A"/>
    <w:rsid w:val="000B562A"/>
    <w:rsid w:val="000B568D"/>
    <w:rsid w:val="000B59A0"/>
    <w:rsid w:val="000B5C41"/>
    <w:rsid w:val="000B6440"/>
    <w:rsid w:val="000B6A67"/>
    <w:rsid w:val="000B6E58"/>
    <w:rsid w:val="000B7A28"/>
    <w:rsid w:val="000B7AF0"/>
    <w:rsid w:val="000C0345"/>
    <w:rsid w:val="000C072E"/>
    <w:rsid w:val="000C0ABC"/>
    <w:rsid w:val="000C0BFA"/>
    <w:rsid w:val="000C1986"/>
    <w:rsid w:val="000C1BB4"/>
    <w:rsid w:val="000C1BC8"/>
    <w:rsid w:val="000C2055"/>
    <w:rsid w:val="000C25F6"/>
    <w:rsid w:val="000C29EA"/>
    <w:rsid w:val="000C2AF9"/>
    <w:rsid w:val="000C2DF8"/>
    <w:rsid w:val="000C2EE4"/>
    <w:rsid w:val="000C3305"/>
    <w:rsid w:val="000C3475"/>
    <w:rsid w:val="000C3979"/>
    <w:rsid w:val="000C3A23"/>
    <w:rsid w:val="000C3AE8"/>
    <w:rsid w:val="000C3C0E"/>
    <w:rsid w:val="000C3F12"/>
    <w:rsid w:val="000C421E"/>
    <w:rsid w:val="000C4404"/>
    <w:rsid w:val="000C47A3"/>
    <w:rsid w:val="000C4A08"/>
    <w:rsid w:val="000C4C3B"/>
    <w:rsid w:val="000C4CD1"/>
    <w:rsid w:val="000C4CEE"/>
    <w:rsid w:val="000C4E17"/>
    <w:rsid w:val="000C4E18"/>
    <w:rsid w:val="000C4E25"/>
    <w:rsid w:val="000C51AD"/>
    <w:rsid w:val="000C5484"/>
    <w:rsid w:val="000C569B"/>
    <w:rsid w:val="000C58A6"/>
    <w:rsid w:val="000C5A8A"/>
    <w:rsid w:val="000C5D7F"/>
    <w:rsid w:val="000C5DAC"/>
    <w:rsid w:val="000C5DE6"/>
    <w:rsid w:val="000C6154"/>
    <w:rsid w:val="000C65BE"/>
    <w:rsid w:val="000C6BB5"/>
    <w:rsid w:val="000C702D"/>
    <w:rsid w:val="000C7179"/>
    <w:rsid w:val="000C75DD"/>
    <w:rsid w:val="000C78EE"/>
    <w:rsid w:val="000C7C53"/>
    <w:rsid w:val="000D015E"/>
    <w:rsid w:val="000D03C5"/>
    <w:rsid w:val="000D06C2"/>
    <w:rsid w:val="000D0BEC"/>
    <w:rsid w:val="000D0DE1"/>
    <w:rsid w:val="000D1045"/>
    <w:rsid w:val="000D117D"/>
    <w:rsid w:val="000D11BF"/>
    <w:rsid w:val="000D123E"/>
    <w:rsid w:val="000D14E5"/>
    <w:rsid w:val="000D17D8"/>
    <w:rsid w:val="000D1A3C"/>
    <w:rsid w:val="000D1C42"/>
    <w:rsid w:val="000D1F34"/>
    <w:rsid w:val="000D2126"/>
    <w:rsid w:val="000D23E7"/>
    <w:rsid w:val="000D28EC"/>
    <w:rsid w:val="000D2B7A"/>
    <w:rsid w:val="000D30C9"/>
    <w:rsid w:val="000D32F0"/>
    <w:rsid w:val="000D37FF"/>
    <w:rsid w:val="000D3889"/>
    <w:rsid w:val="000D3B7C"/>
    <w:rsid w:val="000D3C03"/>
    <w:rsid w:val="000D428A"/>
    <w:rsid w:val="000D440D"/>
    <w:rsid w:val="000D4486"/>
    <w:rsid w:val="000D4660"/>
    <w:rsid w:val="000D466E"/>
    <w:rsid w:val="000D4B86"/>
    <w:rsid w:val="000D4F50"/>
    <w:rsid w:val="000D56A3"/>
    <w:rsid w:val="000D6485"/>
    <w:rsid w:val="000D64BA"/>
    <w:rsid w:val="000D6711"/>
    <w:rsid w:val="000D6D01"/>
    <w:rsid w:val="000D6E8F"/>
    <w:rsid w:val="000D6FFA"/>
    <w:rsid w:val="000D709E"/>
    <w:rsid w:val="000D7324"/>
    <w:rsid w:val="000D74EA"/>
    <w:rsid w:val="000D7C3F"/>
    <w:rsid w:val="000D7DFA"/>
    <w:rsid w:val="000D7EA7"/>
    <w:rsid w:val="000E0DA0"/>
    <w:rsid w:val="000E0EA6"/>
    <w:rsid w:val="000E1172"/>
    <w:rsid w:val="000E149E"/>
    <w:rsid w:val="000E1583"/>
    <w:rsid w:val="000E1792"/>
    <w:rsid w:val="000E1F6F"/>
    <w:rsid w:val="000E20EE"/>
    <w:rsid w:val="000E213D"/>
    <w:rsid w:val="000E2241"/>
    <w:rsid w:val="000E2506"/>
    <w:rsid w:val="000E25B7"/>
    <w:rsid w:val="000E2730"/>
    <w:rsid w:val="000E2F2C"/>
    <w:rsid w:val="000E2F52"/>
    <w:rsid w:val="000E2F67"/>
    <w:rsid w:val="000E2FAC"/>
    <w:rsid w:val="000E3054"/>
    <w:rsid w:val="000E318C"/>
    <w:rsid w:val="000E321C"/>
    <w:rsid w:val="000E35E7"/>
    <w:rsid w:val="000E37EC"/>
    <w:rsid w:val="000E3C52"/>
    <w:rsid w:val="000E3CB0"/>
    <w:rsid w:val="000E42F7"/>
    <w:rsid w:val="000E432A"/>
    <w:rsid w:val="000E4F4B"/>
    <w:rsid w:val="000E51F0"/>
    <w:rsid w:val="000E522C"/>
    <w:rsid w:val="000E5A1E"/>
    <w:rsid w:val="000E5D26"/>
    <w:rsid w:val="000E5E9C"/>
    <w:rsid w:val="000E60F2"/>
    <w:rsid w:val="000E615B"/>
    <w:rsid w:val="000E6246"/>
    <w:rsid w:val="000E6592"/>
    <w:rsid w:val="000E6934"/>
    <w:rsid w:val="000E6DD6"/>
    <w:rsid w:val="000E6E03"/>
    <w:rsid w:val="000E7A40"/>
    <w:rsid w:val="000E7B30"/>
    <w:rsid w:val="000E7F57"/>
    <w:rsid w:val="000E7F64"/>
    <w:rsid w:val="000E7FC2"/>
    <w:rsid w:val="000E7FE9"/>
    <w:rsid w:val="000F0074"/>
    <w:rsid w:val="000F0329"/>
    <w:rsid w:val="000F07A6"/>
    <w:rsid w:val="000F0820"/>
    <w:rsid w:val="000F0B1D"/>
    <w:rsid w:val="000F0C93"/>
    <w:rsid w:val="000F0D93"/>
    <w:rsid w:val="000F1358"/>
    <w:rsid w:val="000F143C"/>
    <w:rsid w:val="000F145C"/>
    <w:rsid w:val="000F1CCC"/>
    <w:rsid w:val="000F1F49"/>
    <w:rsid w:val="000F244F"/>
    <w:rsid w:val="000F2606"/>
    <w:rsid w:val="000F276B"/>
    <w:rsid w:val="000F3279"/>
    <w:rsid w:val="000F341C"/>
    <w:rsid w:val="000F3B85"/>
    <w:rsid w:val="000F3D4A"/>
    <w:rsid w:val="000F4377"/>
    <w:rsid w:val="000F4696"/>
    <w:rsid w:val="000F46D7"/>
    <w:rsid w:val="000F48A8"/>
    <w:rsid w:val="000F4D04"/>
    <w:rsid w:val="000F4ED8"/>
    <w:rsid w:val="000F59B7"/>
    <w:rsid w:val="000F5D39"/>
    <w:rsid w:val="000F5F8D"/>
    <w:rsid w:val="000F6124"/>
    <w:rsid w:val="000F6A87"/>
    <w:rsid w:val="000F6B96"/>
    <w:rsid w:val="000F6DFB"/>
    <w:rsid w:val="000F6F05"/>
    <w:rsid w:val="000F727F"/>
    <w:rsid w:val="000F7525"/>
    <w:rsid w:val="000F78C9"/>
    <w:rsid w:val="000F7A1D"/>
    <w:rsid w:val="000F7C59"/>
    <w:rsid w:val="00100319"/>
    <w:rsid w:val="00100955"/>
    <w:rsid w:val="00100CEB"/>
    <w:rsid w:val="00100E45"/>
    <w:rsid w:val="0010122A"/>
    <w:rsid w:val="00101787"/>
    <w:rsid w:val="00101862"/>
    <w:rsid w:val="00101D61"/>
    <w:rsid w:val="001020E7"/>
    <w:rsid w:val="0010269C"/>
    <w:rsid w:val="00102912"/>
    <w:rsid w:val="00102C25"/>
    <w:rsid w:val="00102EE3"/>
    <w:rsid w:val="001030E4"/>
    <w:rsid w:val="0010325A"/>
    <w:rsid w:val="001037A5"/>
    <w:rsid w:val="00103A41"/>
    <w:rsid w:val="00103F92"/>
    <w:rsid w:val="00103FE2"/>
    <w:rsid w:val="001042FF"/>
    <w:rsid w:val="00104535"/>
    <w:rsid w:val="00104947"/>
    <w:rsid w:val="00104A07"/>
    <w:rsid w:val="00104DAE"/>
    <w:rsid w:val="00105187"/>
    <w:rsid w:val="0010568A"/>
    <w:rsid w:val="001058AC"/>
    <w:rsid w:val="00105E1C"/>
    <w:rsid w:val="00105F83"/>
    <w:rsid w:val="00106C33"/>
    <w:rsid w:val="0010781F"/>
    <w:rsid w:val="0011051C"/>
    <w:rsid w:val="001106B3"/>
    <w:rsid w:val="001106E3"/>
    <w:rsid w:val="00110A3A"/>
    <w:rsid w:val="00110DFC"/>
    <w:rsid w:val="001111B5"/>
    <w:rsid w:val="001116C2"/>
    <w:rsid w:val="00111701"/>
    <w:rsid w:val="001117F2"/>
    <w:rsid w:val="00111D7A"/>
    <w:rsid w:val="00111F1E"/>
    <w:rsid w:val="00112547"/>
    <w:rsid w:val="0011270D"/>
    <w:rsid w:val="0011278F"/>
    <w:rsid w:val="0011289B"/>
    <w:rsid w:val="00112ADC"/>
    <w:rsid w:val="00113225"/>
    <w:rsid w:val="001134CC"/>
    <w:rsid w:val="00113A05"/>
    <w:rsid w:val="00113C61"/>
    <w:rsid w:val="00113E77"/>
    <w:rsid w:val="00113FA9"/>
    <w:rsid w:val="00114213"/>
    <w:rsid w:val="0011448E"/>
    <w:rsid w:val="001148E8"/>
    <w:rsid w:val="00114B1D"/>
    <w:rsid w:val="00114C01"/>
    <w:rsid w:val="00114D65"/>
    <w:rsid w:val="00114DA4"/>
    <w:rsid w:val="00114E19"/>
    <w:rsid w:val="00114E75"/>
    <w:rsid w:val="00114F62"/>
    <w:rsid w:val="001150AF"/>
    <w:rsid w:val="001156A5"/>
    <w:rsid w:val="00115A60"/>
    <w:rsid w:val="00115D6B"/>
    <w:rsid w:val="0011612C"/>
    <w:rsid w:val="00116780"/>
    <w:rsid w:val="001167F1"/>
    <w:rsid w:val="001168D2"/>
    <w:rsid w:val="001170F6"/>
    <w:rsid w:val="0011763A"/>
    <w:rsid w:val="00117A29"/>
    <w:rsid w:val="00117A3D"/>
    <w:rsid w:val="00117AA0"/>
    <w:rsid w:val="00120306"/>
    <w:rsid w:val="00120ECE"/>
    <w:rsid w:val="00121010"/>
    <w:rsid w:val="00121671"/>
    <w:rsid w:val="0012211F"/>
    <w:rsid w:val="00122183"/>
    <w:rsid w:val="00122272"/>
    <w:rsid w:val="00122E9F"/>
    <w:rsid w:val="00123735"/>
    <w:rsid w:val="00123E79"/>
    <w:rsid w:val="00123FC6"/>
    <w:rsid w:val="0012408F"/>
    <w:rsid w:val="0012468A"/>
    <w:rsid w:val="00124D9E"/>
    <w:rsid w:val="00124EAE"/>
    <w:rsid w:val="00125050"/>
    <w:rsid w:val="001254D7"/>
    <w:rsid w:val="00125888"/>
    <w:rsid w:val="00125982"/>
    <w:rsid w:val="00125DAC"/>
    <w:rsid w:val="00125F16"/>
    <w:rsid w:val="0012653F"/>
    <w:rsid w:val="001266F3"/>
    <w:rsid w:val="00126719"/>
    <w:rsid w:val="00127163"/>
    <w:rsid w:val="00127336"/>
    <w:rsid w:val="001274D5"/>
    <w:rsid w:val="0012750D"/>
    <w:rsid w:val="0012764C"/>
    <w:rsid w:val="001279D2"/>
    <w:rsid w:val="00130062"/>
    <w:rsid w:val="0013011B"/>
    <w:rsid w:val="00130E49"/>
    <w:rsid w:val="001310BB"/>
    <w:rsid w:val="00131343"/>
    <w:rsid w:val="0013142A"/>
    <w:rsid w:val="0013178B"/>
    <w:rsid w:val="00131BB8"/>
    <w:rsid w:val="0013223B"/>
    <w:rsid w:val="001322FE"/>
    <w:rsid w:val="00132A1E"/>
    <w:rsid w:val="00132B2B"/>
    <w:rsid w:val="0013325C"/>
    <w:rsid w:val="00133298"/>
    <w:rsid w:val="0013343B"/>
    <w:rsid w:val="00133554"/>
    <w:rsid w:val="00133860"/>
    <w:rsid w:val="001344DB"/>
    <w:rsid w:val="00134904"/>
    <w:rsid w:val="00134907"/>
    <w:rsid w:val="00134ADD"/>
    <w:rsid w:val="00134E64"/>
    <w:rsid w:val="00134F1E"/>
    <w:rsid w:val="0013536E"/>
    <w:rsid w:val="00135EB3"/>
    <w:rsid w:val="00135F4B"/>
    <w:rsid w:val="00136355"/>
    <w:rsid w:val="001363E0"/>
    <w:rsid w:val="0013698F"/>
    <w:rsid w:val="00136AC0"/>
    <w:rsid w:val="00136ACD"/>
    <w:rsid w:val="00136B1B"/>
    <w:rsid w:val="00136D6E"/>
    <w:rsid w:val="00136EF6"/>
    <w:rsid w:val="00136FAE"/>
    <w:rsid w:val="001374EF"/>
    <w:rsid w:val="00137627"/>
    <w:rsid w:val="001377B7"/>
    <w:rsid w:val="00137C5B"/>
    <w:rsid w:val="00137D20"/>
    <w:rsid w:val="00137D9B"/>
    <w:rsid w:val="00137EB4"/>
    <w:rsid w:val="0014025A"/>
    <w:rsid w:val="00140367"/>
    <w:rsid w:val="001405C4"/>
    <w:rsid w:val="00141006"/>
    <w:rsid w:val="00141555"/>
    <w:rsid w:val="001419C7"/>
    <w:rsid w:val="00141B92"/>
    <w:rsid w:val="00141F04"/>
    <w:rsid w:val="00141F64"/>
    <w:rsid w:val="001420BA"/>
    <w:rsid w:val="00142231"/>
    <w:rsid w:val="00142546"/>
    <w:rsid w:val="0014270A"/>
    <w:rsid w:val="00142E99"/>
    <w:rsid w:val="0014311A"/>
    <w:rsid w:val="00143262"/>
    <w:rsid w:val="00143B59"/>
    <w:rsid w:val="00143F31"/>
    <w:rsid w:val="00144771"/>
    <w:rsid w:val="00145183"/>
    <w:rsid w:val="00145393"/>
    <w:rsid w:val="0014551F"/>
    <w:rsid w:val="001455A8"/>
    <w:rsid w:val="001455FB"/>
    <w:rsid w:val="001457D1"/>
    <w:rsid w:val="00145859"/>
    <w:rsid w:val="00145CE0"/>
    <w:rsid w:val="00145DFA"/>
    <w:rsid w:val="00145FFD"/>
    <w:rsid w:val="001461CF"/>
    <w:rsid w:val="0014643F"/>
    <w:rsid w:val="00146853"/>
    <w:rsid w:val="00146AA5"/>
    <w:rsid w:val="0014716B"/>
    <w:rsid w:val="0014770B"/>
    <w:rsid w:val="00147999"/>
    <w:rsid w:val="00147BB0"/>
    <w:rsid w:val="00150275"/>
    <w:rsid w:val="00150579"/>
    <w:rsid w:val="00150AEA"/>
    <w:rsid w:val="0015140F"/>
    <w:rsid w:val="00151537"/>
    <w:rsid w:val="00151702"/>
    <w:rsid w:val="0015183D"/>
    <w:rsid w:val="00151B85"/>
    <w:rsid w:val="00151BA7"/>
    <w:rsid w:val="00151D09"/>
    <w:rsid w:val="00152126"/>
    <w:rsid w:val="00152316"/>
    <w:rsid w:val="0015254F"/>
    <w:rsid w:val="001528DC"/>
    <w:rsid w:val="00152AC2"/>
    <w:rsid w:val="00152CA1"/>
    <w:rsid w:val="00152F6E"/>
    <w:rsid w:val="00153268"/>
    <w:rsid w:val="0015350F"/>
    <w:rsid w:val="001537CA"/>
    <w:rsid w:val="00153E90"/>
    <w:rsid w:val="00153EC3"/>
    <w:rsid w:val="00154B53"/>
    <w:rsid w:val="00155892"/>
    <w:rsid w:val="001559E6"/>
    <w:rsid w:val="00155DFC"/>
    <w:rsid w:val="00156034"/>
    <w:rsid w:val="001562AF"/>
    <w:rsid w:val="001566EA"/>
    <w:rsid w:val="001567D6"/>
    <w:rsid w:val="00156839"/>
    <w:rsid w:val="001569AD"/>
    <w:rsid w:val="001569E5"/>
    <w:rsid w:val="00156E7A"/>
    <w:rsid w:val="00157471"/>
    <w:rsid w:val="00157693"/>
    <w:rsid w:val="00157A4F"/>
    <w:rsid w:val="001600CB"/>
    <w:rsid w:val="0016020B"/>
    <w:rsid w:val="00160245"/>
    <w:rsid w:val="001605BF"/>
    <w:rsid w:val="0016099A"/>
    <w:rsid w:val="00160B32"/>
    <w:rsid w:val="00160DA0"/>
    <w:rsid w:val="00160FFE"/>
    <w:rsid w:val="00161557"/>
    <w:rsid w:val="0016157B"/>
    <w:rsid w:val="001615DA"/>
    <w:rsid w:val="0016164D"/>
    <w:rsid w:val="001616BE"/>
    <w:rsid w:val="00161775"/>
    <w:rsid w:val="00161A97"/>
    <w:rsid w:val="00161AB4"/>
    <w:rsid w:val="00162123"/>
    <w:rsid w:val="0016229A"/>
    <w:rsid w:val="0016233F"/>
    <w:rsid w:val="001623B0"/>
    <w:rsid w:val="0016279A"/>
    <w:rsid w:val="00162A64"/>
    <w:rsid w:val="00162E88"/>
    <w:rsid w:val="001631D4"/>
    <w:rsid w:val="001636CC"/>
    <w:rsid w:val="001636E3"/>
    <w:rsid w:val="00163830"/>
    <w:rsid w:val="00163836"/>
    <w:rsid w:val="00163887"/>
    <w:rsid w:val="00163AA3"/>
    <w:rsid w:val="00163D62"/>
    <w:rsid w:val="0016405E"/>
    <w:rsid w:val="0016441A"/>
    <w:rsid w:val="00164464"/>
    <w:rsid w:val="0016492D"/>
    <w:rsid w:val="00164E27"/>
    <w:rsid w:val="0016529D"/>
    <w:rsid w:val="001652EC"/>
    <w:rsid w:val="00165315"/>
    <w:rsid w:val="00165681"/>
    <w:rsid w:val="00166054"/>
    <w:rsid w:val="00166138"/>
    <w:rsid w:val="001661A4"/>
    <w:rsid w:val="0016633F"/>
    <w:rsid w:val="00166734"/>
    <w:rsid w:val="00166CEE"/>
    <w:rsid w:val="00166CFA"/>
    <w:rsid w:val="00166F7B"/>
    <w:rsid w:val="00167330"/>
    <w:rsid w:val="00167339"/>
    <w:rsid w:val="0016746A"/>
    <w:rsid w:val="0016764D"/>
    <w:rsid w:val="0016799A"/>
    <w:rsid w:val="00167EE8"/>
    <w:rsid w:val="00170251"/>
    <w:rsid w:val="001702CC"/>
    <w:rsid w:val="0017050D"/>
    <w:rsid w:val="00170586"/>
    <w:rsid w:val="00170587"/>
    <w:rsid w:val="00170993"/>
    <w:rsid w:val="001709D7"/>
    <w:rsid w:val="00170B8B"/>
    <w:rsid w:val="001712FF"/>
    <w:rsid w:val="0017137F"/>
    <w:rsid w:val="00171720"/>
    <w:rsid w:val="00171B3B"/>
    <w:rsid w:val="00171C58"/>
    <w:rsid w:val="00171E44"/>
    <w:rsid w:val="0017214A"/>
    <w:rsid w:val="001723FB"/>
    <w:rsid w:val="00172A98"/>
    <w:rsid w:val="001731C0"/>
    <w:rsid w:val="00173523"/>
    <w:rsid w:val="00173662"/>
    <w:rsid w:val="001736C6"/>
    <w:rsid w:val="001738E6"/>
    <w:rsid w:val="00173A3E"/>
    <w:rsid w:val="0017449A"/>
    <w:rsid w:val="001744FB"/>
    <w:rsid w:val="00174563"/>
    <w:rsid w:val="00174568"/>
    <w:rsid w:val="00174708"/>
    <w:rsid w:val="0017490B"/>
    <w:rsid w:val="00174C04"/>
    <w:rsid w:val="00174D7E"/>
    <w:rsid w:val="0017533D"/>
    <w:rsid w:val="001757A4"/>
    <w:rsid w:val="00175F17"/>
    <w:rsid w:val="00175FE9"/>
    <w:rsid w:val="001761F3"/>
    <w:rsid w:val="0017647B"/>
    <w:rsid w:val="00176A69"/>
    <w:rsid w:val="00176D51"/>
    <w:rsid w:val="00176E6D"/>
    <w:rsid w:val="00176EE5"/>
    <w:rsid w:val="001773BD"/>
    <w:rsid w:val="00177654"/>
    <w:rsid w:val="001776A2"/>
    <w:rsid w:val="001778C0"/>
    <w:rsid w:val="0017797C"/>
    <w:rsid w:val="001800D0"/>
    <w:rsid w:val="00180B31"/>
    <w:rsid w:val="00181139"/>
    <w:rsid w:val="0018115E"/>
    <w:rsid w:val="001811CE"/>
    <w:rsid w:val="00181745"/>
    <w:rsid w:val="00181F5A"/>
    <w:rsid w:val="00182E10"/>
    <w:rsid w:val="001830EE"/>
    <w:rsid w:val="001832F7"/>
    <w:rsid w:val="001835EA"/>
    <w:rsid w:val="001838CE"/>
    <w:rsid w:val="00183931"/>
    <w:rsid w:val="0018397F"/>
    <w:rsid w:val="00183B26"/>
    <w:rsid w:val="00183FD3"/>
    <w:rsid w:val="001841A5"/>
    <w:rsid w:val="00184225"/>
    <w:rsid w:val="001843D2"/>
    <w:rsid w:val="00184990"/>
    <w:rsid w:val="00184EC8"/>
    <w:rsid w:val="0018512F"/>
    <w:rsid w:val="00185692"/>
    <w:rsid w:val="00185733"/>
    <w:rsid w:val="0018586A"/>
    <w:rsid w:val="00185B76"/>
    <w:rsid w:val="0018613D"/>
    <w:rsid w:val="0018639F"/>
    <w:rsid w:val="001868BA"/>
    <w:rsid w:val="0018714D"/>
    <w:rsid w:val="001871E7"/>
    <w:rsid w:val="001876B3"/>
    <w:rsid w:val="00187B06"/>
    <w:rsid w:val="00187D80"/>
    <w:rsid w:val="00187F5B"/>
    <w:rsid w:val="001901A0"/>
    <w:rsid w:val="00190519"/>
    <w:rsid w:val="00190788"/>
    <w:rsid w:val="00190920"/>
    <w:rsid w:val="001909B1"/>
    <w:rsid w:val="00190DE6"/>
    <w:rsid w:val="00190DE9"/>
    <w:rsid w:val="001919E2"/>
    <w:rsid w:val="00191FBC"/>
    <w:rsid w:val="0019213E"/>
    <w:rsid w:val="0019217B"/>
    <w:rsid w:val="0019218B"/>
    <w:rsid w:val="001925C0"/>
    <w:rsid w:val="00192BFD"/>
    <w:rsid w:val="00192F15"/>
    <w:rsid w:val="001936FD"/>
    <w:rsid w:val="00193DF4"/>
    <w:rsid w:val="001942B8"/>
    <w:rsid w:val="001942CA"/>
    <w:rsid w:val="00194668"/>
    <w:rsid w:val="00194768"/>
    <w:rsid w:val="00194929"/>
    <w:rsid w:val="00195122"/>
    <w:rsid w:val="001956F4"/>
    <w:rsid w:val="001957E5"/>
    <w:rsid w:val="00195870"/>
    <w:rsid w:val="00195A12"/>
    <w:rsid w:val="00195E55"/>
    <w:rsid w:val="001960E7"/>
    <w:rsid w:val="001966D9"/>
    <w:rsid w:val="00197150"/>
    <w:rsid w:val="00197511"/>
    <w:rsid w:val="00197992"/>
    <w:rsid w:val="001979FE"/>
    <w:rsid w:val="00197E72"/>
    <w:rsid w:val="001A02A6"/>
    <w:rsid w:val="001A07D7"/>
    <w:rsid w:val="001A0FB4"/>
    <w:rsid w:val="001A1541"/>
    <w:rsid w:val="001A165F"/>
    <w:rsid w:val="001A1892"/>
    <w:rsid w:val="001A1DD2"/>
    <w:rsid w:val="001A1EAA"/>
    <w:rsid w:val="001A2A8B"/>
    <w:rsid w:val="001A2AB5"/>
    <w:rsid w:val="001A31C1"/>
    <w:rsid w:val="001A348B"/>
    <w:rsid w:val="001A381E"/>
    <w:rsid w:val="001A41CC"/>
    <w:rsid w:val="001A4600"/>
    <w:rsid w:val="001A481A"/>
    <w:rsid w:val="001A49CB"/>
    <w:rsid w:val="001A4CD6"/>
    <w:rsid w:val="001A50BA"/>
    <w:rsid w:val="001A54AB"/>
    <w:rsid w:val="001A54CE"/>
    <w:rsid w:val="001A54EA"/>
    <w:rsid w:val="001A569F"/>
    <w:rsid w:val="001A5879"/>
    <w:rsid w:val="001A5C86"/>
    <w:rsid w:val="001A5EA9"/>
    <w:rsid w:val="001A5F7D"/>
    <w:rsid w:val="001A616B"/>
    <w:rsid w:val="001A6624"/>
    <w:rsid w:val="001A66AD"/>
    <w:rsid w:val="001A6876"/>
    <w:rsid w:val="001A69C2"/>
    <w:rsid w:val="001A69E2"/>
    <w:rsid w:val="001A6A5D"/>
    <w:rsid w:val="001A6CB7"/>
    <w:rsid w:val="001A704E"/>
    <w:rsid w:val="001A714C"/>
    <w:rsid w:val="001A75C7"/>
    <w:rsid w:val="001A7852"/>
    <w:rsid w:val="001A7B80"/>
    <w:rsid w:val="001A7BF0"/>
    <w:rsid w:val="001A7FF1"/>
    <w:rsid w:val="001B021B"/>
    <w:rsid w:val="001B025B"/>
    <w:rsid w:val="001B0330"/>
    <w:rsid w:val="001B03B9"/>
    <w:rsid w:val="001B062C"/>
    <w:rsid w:val="001B087D"/>
    <w:rsid w:val="001B08B4"/>
    <w:rsid w:val="001B0B09"/>
    <w:rsid w:val="001B0E03"/>
    <w:rsid w:val="001B1411"/>
    <w:rsid w:val="001B1741"/>
    <w:rsid w:val="001B1C82"/>
    <w:rsid w:val="001B1D21"/>
    <w:rsid w:val="001B1EEC"/>
    <w:rsid w:val="001B1F60"/>
    <w:rsid w:val="001B22A5"/>
    <w:rsid w:val="001B23DD"/>
    <w:rsid w:val="001B28E6"/>
    <w:rsid w:val="001B2991"/>
    <w:rsid w:val="001B299D"/>
    <w:rsid w:val="001B2CE0"/>
    <w:rsid w:val="001B3063"/>
    <w:rsid w:val="001B30D5"/>
    <w:rsid w:val="001B312C"/>
    <w:rsid w:val="001B3409"/>
    <w:rsid w:val="001B3713"/>
    <w:rsid w:val="001B3726"/>
    <w:rsid w:val="001B3A53"/>
    <w:rsid w:val="001B3FFB"/>
    <w:rsid w:val="001B439C"/>
    <w:rsid w:val="001B48DB"/>
    <w:rsid w:val="001B4E32"/>
    <w:rsid w:val="001B4F07"/>
    <w:rsid w:val="001B599F"/>
    <w:rsid w:val="001B5A16"/>
    <w:rsid w:val="001B5A46"/>
    <w:rsid w:val="001B5DB0"/>
    <w:rsid w:val="001B6530"/>
    <w:rsid w:val="001B66FE"/>
    <w:rsid w:val="001B679F"/>
    <w:rsid w:val="001B68AD"/>
    <w:rsid w:val="001B6B69"/>
    <w:rsid w:val="001B6EDC"/>
    <w:rsid w:val="001B7ECC"/>
    <w:rsid w:val="001C062A"/>
    <w:rsid w:val="001C09CF"/>
    <w:rsid w:val="001C0B6C"/>
    <w:rsid w:val="001C0EF2"/>
    <w:rsid w:val="001C170D"/>
    <w:rsid w:val="001C1954"/>
    <w:rsid w:val="001C1DAA"/>
    <w:rsid w:val="001C23C7"/>
    <w:rsid w:val="001C27B7"/>
    <w:rsid w:val="001C27FB"/>
    <w:rsid w:val="001C2D17"/>
    <w:rsid w:val="001C3000"/>
    <w:rsid w:val="001C318E"/>
    <w:rsid w:val="001C31A2"/>
    <w:rsid w:val="001C32EC"/>
    <w:rsid w:val="001C383E"/>
    <w:rsid w:val="001C3A36"/>
    <w:rsid w:val="001C5064"/>
    <w:rsid w:val="001C53C6"/>
    <w:rsid w:val="001C5568"/>
    <w:rsid w:val="001C56A4"/>
    <w:rsid w:val="001C59C9"/>
    <w:rsid w:val="001C5A75"/>
    <w:rsid w:val="001C5F4B"/>
    <w:rsid w:val="001C64D5"/>
    <w:rsid w:val="001C6898"/>
    <w:rsid w:val="001C6C35"/>
    <w:rsid w:val="001C7403"/>
    <w:rsid w:val="001C76B9"/>
    <w:rsid w:val="001C7A45"/>
    <w:rsid w:val="001C7B8C"/>
    <w:rsid w:val="001C7D7E"/>
    <w:rsid w:val="001D0251"/>
    <w:rsid w:val="001D06BC"/>
    <w:rsid w:val="001D0A83"/>
    <w:rsid w:val="001D1519"/>
    <w:rsid w:val="001D1CDA"/>
    <w:rsid w:val="001D1D98"/>
    <w:rsid w:val="001D22E5"/>
    <w:rsid w:val="001D230D"/>
    <w:rsid w:val="001D2353"/>
    <w:rsid w:val="001D330E"/>
    <w:rsid w:val="001D387D"/>
    <w:rsid w:val="001D3CED"/>
    <w:rsid w:val="001D3F30"/>
    <w:rsid w:val="001D3F5D"/>
    <w:rsid w:val="001D4257"/>
    <w:rsid w:val="001D4369"/>
    <w:rsid w:val="001D47A2"/>
    <w:rsid w:val="001D47CC"/>
    <w:rsid w:val="001D493A"/>
    <w:rsid w:val="001D4C5D"/>
    <w:rsid w:val="001D52D5"/>
    <w:rsid w:val="001D530C"/>
    <w:rsid w:val="001D53A7"/>
    <w:rsid w:val="001D5817"/>
    <w:rsid w:val="001D5953"/>
    <w:rsid w:val="001D5D06"/>
    <w:rsid w:val="001D5E2A"/>
    <w:rsid w:val="001D64F0"/>
    <w:rsid w:val="001D650F"/>
    <w:rsid w:val="001D663C"/>
    <w:rsid w:val="001D6BD5"/>
    <w:rsid w:val="001D6DA3"/>
    <w:rsid w:val="001D754B"/>
    <w:rsid w:val="001D7578"/>
    <w:rsid w:val="001D7D0A"/>
    <w:rsid w:val="001D7D5A"/>
    <w:rsid w:val="001D7E28"/>
    <w:rsid w:val="001D7E4B"/>
    <w:rsid w:val="001D7E6E"/>
    <w:rsid w:val="001E0580"/>
    <w:rsid w:val="001E0798"/>
    <w:rsid w:val="001E0CBA"/>
    <w:rsid w:val="001E0E6E"/>
    <w:rsid w:val="001E1073"/>
    <w:rsid w:val="001E12B6"/>
    <w:rsid w:val="001E12DD"/>
    <w:rsid w:val="001E16A6"/>
    <w:rsid w:val="001E1D6E"/>
    <w:rsid w:val="001E2472"/>
    <w:rsid w:val="001E2684"/>
    <w:rsid w:val="001E2A52"/>
    <w:rsid w:val="001E2C55"/>
    <w:rsid w:val="001E2E91"/>
    <w:rsid w:val="001E2EC1"/>
    <w:rsid w:val="001E3017"/>
    <w:rsid w:val="001E3500"/>
    <w:rsid w:val="001E4139"/>
    <w:rsid w:val="001E42C9"/>
    <w:rsid w:val="001E47CF"/>
    <w:rsid w:val="001E48F7"/>
    <w:rsid w:val="001E49CE"/>
    <w:rsid w:val="001E4AA5"/>
    <w:rsid w:val="001E4C61"/>
    <w:rsid w:val="001E5614"/>
    <w:rsid w:val="001E5712"/>
    <w:rsid w:val="001E59D4"/>
    <w:rsid w:val="001E5A8A"/>
    <w:rsid w:val="001E5E53"/>
    <w:rsid w:val="001E66D9"/>
    <w:rsid w:val="001E6BAA"/>
    <w:rsid w:val="001E6E0B"/>
    <w:rsid w:val="001E73E8"/>
    <w:rsid w:val="001E7A6F"/>
    <w:rsid w:val="001E7E22"/>
    <w:rsid w:val="001F05EB"/>
    <w:rsid w:val="001F0BDE"/>
    <w:rsid w:val="001F0D39"/>
    <w:rsid w:val="001F108A"/>
    <w:rsid w:val="001F145F"/>
    <w:rsid w:val="001F1651"/>
    <w:rsid w:val="001F18EC"/>
    <w:rsid w:val="001F19E2"/>
    <w:rsid w:val="001F1F9A"/>
    <w:rsid w:val="001F1FC2"/>
    <w:rsid w:val="001F24DC"/>
    <w:rsid w:val="001F24DD"/>
    <w:rsid w:val="001F24FC"/>
    <w:rsid w:val="001F2A1E"/>
    <w:rsid w:val="001F2C53"/>
    <w:rsid w:val="001F2CE9"/>
    <w:rsid w:val="001F2F1B"/>
    <w:rsid w:val="001F31AE"/>
    <w:rsid w:val="001F3403"/>
    <w:rsid w:val="001F3583"/>
    <w:rsid w:val="001F382D"/>
    <w:rsid w:val="001F3C10"/>
    <w:rsid w:val="001F3C9A"/>
    <w:rsid w:val="001F3E32"/>
    <w:rsid w:val="001F3F4A"/>
    <w:rsid w:val="001F443F"/>
    <w:rsid w:val="001F4503"/>
    <w:rsid w:val="001F45BB"/>
    <w:rsid w:val="001F495F"/>
    <w:rsid w:val="001F4BC0"/>
    <w:rsid w:val="001F4F62"/>
    <w:rsid w:val="001F4F6A"/>
    <w:rsid w:val="001F5427"/>
    <w:rsid w:val="001F55A1"/>
    <w:rsid w:val="001F5942"/>
    <w:rsid w:val="001F5B07"/>
    <w:rsid w:val="001F5B97"/>
    <w:rsid w:val="001F5C13"/>
    <w:rsid w:val="001F5FD1"/>
    <w:rsid w:val="001F61AA"/>
    <w:rsid w:val="001F6317"/>
    <w:rsid w:val="001F694A"/>
    <w:rsid w:val="001F7021"/>
    <w:rsid w:val="001F727E"/>
    <w:rsid w:val="001F7325"/>
    <w:rsid w:val="001F7516"/>
    <w:rsid w:val="001F78F1"/>
    <w:rsid w:val="001F7E0F"/>
    <w:rsid w:val="0020078B"/>
    <w:rsid w:val="00200CA1"/>
    <w:rsid w:val="002012F5"/>
    <w:rsid w:val="00201378"/>
    <w:rsid w:val="0020150D"/>
    <w:rsid w:val="00201930"/>
    <w:rsid w:val="00202478"/>
    <w:rsid w:val="00202623"/>
    <w:rsid w:val="002029D1"/>
    <w:rsid w:val="00202C66"/>
    <w:rsid w:val="00202EEE"/>
    <w:rsid w:val="00202F3F"/>
    <w:rsid w:val="00203000"/>
    <w:rsid w:val="00203101"/>
    <w:rsid w:val="00203274"/>
    <w:rsid w:val="0020329A"/>
    <w:rsid w:val="002033A7"/>
    <w:rsid w:val="00203500"/>
    <w:rsid w:val="00203C12"/>
    <w:rsid w:val="00203D35"/>
    <w:rsid w:val="0020411D"/>
    <w:rsid w:val="00204473"/>
    <w:rsid w:val="0020470A"/>
    <w:rsid w:val="00205329"/>
    <w:rsid w:val="002055F1"/>
    <w:rsid w:val="002057BA"/>
    <w:rsid w:val="00205A62"/>
    <w:rsid w:val="00205AA6"/>
    <w:rsid w:val="002061DA"/>
    <w:rsid w:val="002063CD"/>
    <w:rsid w:val="00206838"/>
    <w:rsid w:val="00206D0D"/>
    <w:rsid w:val="00206E51"/>
    <w:rsid w:val="002070FC"/>
    <w:rsid w:val="00207442"/>
    <w:rsid w:val="002102DD"/>
    <w:rsid w:val="0021079D"/>
    <w:rsid w:val="00210CBA"/>
    <w:rsid w:val="00210D12"/>
    <w:rsid w:val="00210FAA"/>
    <w:rsid w:val="00210FEB"/>
    <w:rsid w:val="00211016"/>
    <w:rsid w:val="0021151D"/>
    <w:rsid w:val="002119BD"/>
    <w:rsid w:val="00211DD4"/>
    <w:rsid w:val="00211EC6"/>
    <w:rsid w:val="0021206E"/>
    <w:rsid w:val="002120E0"/>
    <w:rsid w:val="002129C7"/>
    <w:rsid w:val="002129CD"/>
    <w:rsid w:val="002129EE"/>
    <w:rsid w:val="002129FC"/>
    <w:rsid w:val="00212DFA"/>
    <w:rsid w:val="00212E14"/>
    <w:rsid w:val="00212F7E"/>
    <w:rsid w:val="00213123"/>
    <w:rsid w:val="002135E6"/>
    <w:rsid w:val="002137F2"/>
    <w:rsid w:val="00213A38"/>
    <w:rsid w:val="00213A87"/>
    <w:rsid w:val="0021415E"/>
    <w:rsid w:val="002142AD"/>
    <w:rsid w:val="002145AC"/>
    <w:rsid w:val="002146AB"/>
    <w:rsid w:val="002146FC"/>
    <w:rsid w:val="00214980"/>
    <w:rsid w:val="0021512D"/>
    <w:rsid w:val="00215186"/>
    <w:rsid w:val="002152B5"/>
    <w:rsid w:val="0021542D"/>
    <w:rsid w:val="002155D7"/>
    <w:rsid w:val="00215679"/>
    <w:rsid w:val="00215E65"/>
    <w:rsid w:val="00215EC2"/>
    <w:rsid w:val="00216046"/>
    <w:rsid w:val="00216236"/>
    <w:rsid w:val="00216323"/>
    <w:rsid w:val="002164C0"/>
    <w:rsid w:val="0021665E"/>
    <w:rsid w:val="002166B8"/>
    <w:rsid w:val="00216718"/>
    <w:rsid w:val="0021684B"/>
    <w:rsid w:val="00216930"/>
    <w:rsid w:val="00216C57"/>
    <w:rsid w:val="00216FCD"/>
    <w:rsid w:val="00216FFB"/>
    <w:rsid w:val="00217B63"/>
    <w:rsid w:val="00217F12"/>
    <w:rsid w:val="0022012F"/>
    <w:rsid w:val="002201CF"/>
    <w:rsid w:val="0022022D"/>
    <w:rsid w:val="002203EA"/>
    <w:rsid w:val="00220482"/>
    <w:rsid w:val="00220635"/>
    <w:rsid w:val="00220783"/>
    <w:rsid w:val="00221257"/>
    <w:rsid w:val="00221367"/>
    <w:rsid w:val="002214D7"/>
    <w:rsid w:val="00221538"/>
    <w:rsid w:val="002216AA"/>
    <w:rsid w:val="0022179F"/>
    <w:rsid w:val="002217CF"/>
    <w:rsid w:val="00221A5D"/>
    <w:rsid w:val="00221CA4"/>
    <w:rsid w:val="0022206D"/>
    <w:rsid w:val="0022252B"/>
    <w:rsid w:val="002227AC"/>
    <w:rsid w:val="002239FA"/>
    <w:rsid w:val="00223CA8"/>
    <w:rsid w:val="002240DE"/>
    <w:rsid w:val="002244CA"/>
    <w:rsid w:val="00224A3B"/>
    <w:rsid w:val="00224C6E"/>
    <w:rsid w:val="00224F46"/>
    <w:rsid w:val="002253D9"/>
    <w:rsid w:val="0022568E"/>
    <w:rsid w:val="00225CC0"/>
    <w:rsid w:val="00225FBF"/>
    <w:rsid w:val="00226213"/>
    <w:rsid w:val="00226353"/>
    <w:rsid w:val="0022648E"/>
    <w:rsid w:val="002265DD"/>
    <w:rsid w:val="00226C67"/>
    <w:rsid w:val="00226DF5"/>
    <w:rsid w:val="002270DD"/>
    <w:rsid w:val="00227241"/>
    <w:rsid w:val="00227333"/>
    <w:rsid w:val="0022744F"/>
    <w:rsid w:val="00227959"/>
    <w:rsid w:val="00227BEB"/>
    <w:rsid w:val="0023051C"/>
    <w:rsid w:val="00231145"/>
    <w:rsid w:val="00231496"/>
    <w:rsid w:val="00231531"/>
    <w:rsid w:val="00231736"/>
    <w:rsid w:val="00232130"/>
    <w:rsid w:val="00232666"/>
    <w:rsid w:val="002329AC"/>
    <w:rsid w:val="0023300F"/>
    <w:rsid w:val="00233599"/>
    <w:rsid w:val="002338D3"/>
    <w:rsid w:val="00233B9F"/>
    <w:rsid w:val="00233D18"/>
    <w:rsid w:val="00233E47"/>
    <w:rsid w:val="002342C0"/>
    <w:rsid w:val="002342E1"/>
    <w:rsid w:val="0023479D"/>
    <w:rsid w:val="002348FA"/>
    <w:rsid w:val="00234924"/>
    <w:rsid w:val="002349E9"/>
    <w:rsid w:val="00234C00"/>
    <w:rsid w:val="0023575A"/>
    <w:rsid w:val="00235D17"/>
    <w:rsid w:val="00236BEC"/>
    <w:rsid w:val="00236D7A"/>
    <w:rsid w:val="00237082"/>
    <w:rsid w:val="002372A7"/>
    <w:rsid w:val="002372FD"/>
    <w:rsid w:val="0023777A"/>
    <w:rsid w:val="00237D41"/>
    <w:rsid w:val="00237D80"/>
    <w:rsid w:val="00237DE1"/>
    <w:rsid w:val="00237EAC"/>
    <w:rsid w:val="002401AA"/>
    <w:rsid w:val="00240F8F"/>
    <w:rsid w:val="00241C4F"/>
    <w:rsid w:val="0024225E"/>
    <w:rsid w:val="002423EF"/>
    <w:rsid w:val="0024270B"/>
    <w:rsid w:val="002433B3"/>
    <w:rsid w:val="00243543"/>
    <w:rsid w:val="002436C4"/>
    <w:rsid w:val="002437BA"/>
    <w:rsid w:val="00243917"/>
    <w:rsid w:val="00243A3F"/>
    <w:rsid w:val="00243B62"/>
    <w:rsid w:val="00243D66"/>
    <w:rsid w:val="0024429B"/>
    <w:rsid w:val="0024467C"/>
    <w:rsid w:val="00244868"/>
    <w:rsid w:val="002452AA"/>
    <w:rsid w:val="002455A5"/>
    <w:rsid w:val="00245A4A"/>
    <w:rsid w:val="00245BF6"/>
    <w:rsid w:val="00246013"/>
    <w:rsid w:val="002460E5"/>
    <w:rsid w:val="00246256"/>
    <w:rsid w:val="00246A62"/>
    <w:rsid w:val="00246BBE"/>
    <w:rsid w:val="00247BC5"/>
    <w:rsid w:val="00247D15"/>
    <w:rsid w:val="00247F4F"/>
    <w:rsid w:val="00250248"/>
    <w:rsid w:val="00250452"/>
    <w:rsid w:val="002504A6"/>
    <w:rsid w:val="0025056E"/>
    <w:rsid w:val="00250716"/>
    <w:rsid w:val="0025072A"/>
    <w:rsid w:val="002509A5"/>
    <w:rsid w:val="00251342"/>
    <w:rsid w:val="00251A3B"/>
    <w:rsid w:val="00251CFC"/>
    <w:rsid w:val="00251D88"/>
    <w:rsid w:val="00251F47"/>
    <w:rsid w:val="00252119"/>
    <w:rsid w:val="00252783"/>
    <w:rsid w:val="0025292F"/>
    <w:rsid w:val="00252ABD"/>
    <w:rsid w:val="00252B2D"/>
    <w:rsid w:val="002535FD"/>
    <w:rsid w:val="00253665"/>
    <w:rsid w:val="00253E6C"/>
    <w:rsid w:val="00254199"/>
    <w:rsid w:val="002544C4"/>
    <w:rsid w:val="002547FA"/>
    <w:rsid w:val="0025487D"/>
    <w:rsid w:val="00254FE0"/>
    <w:rsid w:val="0025549A"/>
    <w:rsid w:val="002554CD"/>
    <w:rsid w:val="002555EC"/>
    <w:rsid w:val="002558BB"/>
    <w:rsid w:val="002558CD"/>
    <w:rsid w:val="002559AB"/>
    <w:rsid w:val="002560E6"/>
    <w:rsid w:val="00256291"/>
    <w:rsid w:val="00256410"/>
    <w:rsid w:val="002568E9"/>
    <w:rsid w:val="00256E0D"/>
    <w:rsid w:val="00256FFD"/>
    <w:rsid w:val="00257301"/>
    <w:rsid w:val="002576EC"/>
    <w:rsid w:val="002577D1"/>
    <w:rsid w:val="00257B1E"/>
    <w:rsid w:val="00257E24"/>
    <w:rsid w:val="00257FAA"/>
    <w:rsid w:val="00260231"/>
    <w:rsid w:val="0026046D"/>
    <w:rsid w:val="00260569"/>
    <w:rsid w:val="002606B4"/>
    <w:rsid w:val="00260766"/>
    <w:rsid w:val="00260D8C"/>
    <w:rsid w:val="002617CB"/>
    <w:rsid w:val="0026185F"/>
    <w:rsid w:val="00262D60"/>
    <w:rsid w:val="002631F5"/>
    <w:rsid w:val="002632C3"/>
    <w:rsid w:val="00263452"/>
    <w:rsid w:val="0026345A"/>
    <w:rsid w:val="0026355B"/>
    <w:rsid w:val="00263839"/>
    <w:rsid w:val="00263B33"/>
    <w:rsid w:val="00264416"/>
    <w:rsid w:val="002645BA"/>
    <w:rsid w:val="002647D4"/>
    <w:rsid w:val="00265027"/>
    <w:rsid w:val="00265207"/>
    <w:rsid w:val="00265BED"/>
    <w:rsid w:val="00265D15"/>
    <w:rsid w:val="00265F23"/>
    <w:rsid w:val="00265FAB"/>
    <w:rsid w:val="00266488"/>
    <w:rsid w:val="002665DA"/>
    <w:rsid w:val="002668E8"/>
    <w:rsid w:val="002669D1"/>
    <w:rsid w:val="00266B7D"/>
    <w:rsid w:val="00267111"/>
    <w:rsid w:val="00267976"/>
    <w:rsid w:val="00267AE1"/>
    <w:rsid w:val="00267B86"/>
    <w:rsid w:val="00267DE6"/>
    <w:rsid w:val="00267E89"/>
    <w:rsid w:val="0027010A"/>
    <w:rsid w:val="0027015E"/>
    <w:rsid w:val="00270254"/>
    <w:rsid w:val="0027055C"/>
    <w:rsid w:val="00270C61"/>
    <w:rsid w:val="00270DEE"/>
    <w:rsid w:val="0027125A"/>
    <w:rsid w:val="0027160D"/>
    <w:rsid w:val="002716DC"/>
    <w:rsid w:val="00271882"/>
    <w:rsid w:val="002718FC"/>
    <w:rsid w:val="00271943"/>
    <w:rsid w:val="00271966"/>
    <w:rsid w:val="00271B04"/>
    <w:rsid w:val="00271DE2"/>
    <w:rsid w:val="00271E2A"/>
    <w:rsid w:val="002726E4"/>
    <w:rsid w:val="00272906"/>
    <w:rsid w:val="00272928"/>
    <w:rsid w:val="00272A7F"/>
    <w:rsid w:val="00272A94"/>
    <w:rsid w:val="00272B41"/>
    <w:rsid w:val="00272D7F"/>
    <w:rsid w:val="00272D87"/>
    <w:rsid w:val="00273CBB"/>
    <w:rsid w:val="00273D81"/>
    <w:rsid w:val="0027415C"/>
    <w:rsid w:val="0027416D"/>
    <w:rsid w:val="002742E6"/>
    <w:rsid w:val="002743B3"/>
    <w:rsid w:val="002749EE"/>
    <w:rsid w:val="00275263"/>
    <w:rsid w:val="0027528B"/>
    <w:rsid w:val="002753BD"/>
    <w:rsid w:val="00275665"/>
    <w:rsid w:val="002758F5"/>
    <w:rsid w:val="00275DDE"/>
    <w:rsid w:val="00276094"/>
    <w:rsid w:val="00276251"/>
    <w:rsid w:val="0027629D"/>
    <w:rsid w:val="0027640E"/>
    <w:rsid w:val="00276544"/>
    <w:rsid w:val="00276CE4"/>
    <w:rsid w:val="0027701D"/>
    <w:rsid w:val="00277224"/>
    <w:rsid w:val="00277399"/>
    <w:rsid w:val="0027741D"/>
    <w:rsid w:val="002775B0"/>
    <w:rsid w:val="0027765B"/>
    <w:rsid w:val="00277C58"/>
    <w:rsid w:val="0028000E"/>
    <w:rsid w:val="00280221"/>
    <w:rsid w:val="00280DD1"/>
    <w:rsid w:val="0028151E"/>
    <w:rsid w:val="00282188"/>
    <w:rsid w:val="002828DD"/>
    <w:rsid w:val="00282F94"/>
    <w:rsid w:val="00283270"/>
    <w:rsid w:val="00283315"/>
    <w:rsid w:val="00283672"/>
    <w:rsid w:val="0028380E"/>
    <w:rsid w:val="00283CEF"/>
    <w:rsid w:val="00283F34"/>
    <w:rsid w:val="00283F81"/>
    <w:rsid w:val="002841E5"/>
    <w:rsid w:val="0028439F"/>
    <w:rsid w:val="00284574"/>
    <w:rsid w:val="00284E3E"/>
    <w:rsid w:val="00285F41"/>
    <w:rsid w:val="00286A49"/>
    <w:rsid w:val="00286B88"/>
    <w:rsid w:val="00286C61"/>
    <w:rsid w:val="00287E1A"/>
    <w:rsid w:val="00287F69"/>
    <w:rsid w:val="00290244"/>
    <w:rsid w:val="002907E7"/>
    <w:rsid w:val="0029096B"/>
    <w:rsid w:val="00290CB3"/>
    <w:rsid w:val="00290E53"/>
    <w:rsid w:val="00291175"/>
    <w:rsid w:val="00291380"/>
    <w:rsid w:val="00291EF7"/>
    <w:rsid w:val="00291FF5"/>
    <w:rsid w:val="0029243F"/>
    <w:rsid w:val="00293053"/>
    <w:rsid w:val="0029443C"/>
    <w:rsid w:val="002944FA"/>
    <w:rsid w:val="00294670"/>
    <w:rsid w:val="00294872"/>
    <w:rsid w:val="002949CA"/>
    <w:rsid w:val="00294AA5"/>
    <w:rsid w:val="00294E88"/>
    <w:rsid w:val="00295283"/>
    <w:rsid w:val="002955EA"/>
    <w:rsid w:val="0029574E"/>
    <w:rsid w:val="002958F8"/>
    <w:rsid w:val="00295BB0"/>
    <w:rsid w:val="00296464"/>
    <w:rsid w:val="002965C4"/>
    <w:rsid w:val="00296727"/>
    <w:rsid w:val="00296D4B"/>
    <w:rsid w:val="0029706E"/>
    <w:rsid w:val="00297329"/>
    <w:rsid w:val="00297586"/>
    <w:rsid w:val="002976CA"/>
    <w:rsid w:val="00297904"/>
    <w:rsid w:val="002979BC"/>
    <w:rsid w:val="00297DD0"/>
    <w:rsid w:val="00297EFD"/>
    <w:rsid w:val="00297F7F"/>
    <w:rsid w:val="002A017C"/>
    <w:rsid w:val="002A02CA"/>
    <w:rsid w:val="002A0453"/>
    <w:rsid w:val="002A09AA"/>
    <w:rsid w:val="002A0B89"/>
    <w:rsid w:val="002A0E62"/>
    <w:rsid w:val="002A1930"/>
    <w:rsid w:val="002A1944"/>
    <w:rsid w:val="002A1D51"/>
    <w:rsid w:val="002A1E8A"/>
    <w:rsid w:val="002A2CB1"/>
    <w:rsid w:val="002A34F7"/>
    <w:rsid w:val="002A3A6D"/>
    <w:rsid w:val="002A3C2E"/>
    <w:rsid w:val="002A3D52"/>
    <w:rsid w:val="002A42F4"/>
    <w:rsid w:val="002A44E3"/>
    <w:rsid w:val="002A4680"/>
    <w:rsid w:val="002A47BB"/>
    <w:rsid w:val="002A4F5E"/>
    <w:rsid w:val="002A5007"/>
    <w:rsid w:val="002A51AA"/>
    <w:rsid w:val="002A52BB"/>
    <w:rsid w:val="002A54ED"/>
    <w:rsid w:val="002A5575"/>
    <w:rsid w:val="002A5649"/>
    <w:rsid w:val="002A571C"/>
    <w:rsid w:val="002A5BB0"/>
    <w:rsid w:val="002A6053"/>
    <w:rsid w:val="002A65AE"/>
    <w:rsid w:val="002A6EFC"/>
    <w:rsid w:val="002A6F3C"/>
    <w:rsid w:val="002A7070"/>
    <w:rsid w:val="002A70C9"/>
    <w:rsid w:val="002A71BB"/>
    <w:rsid w:val="002A7273"/>
    <w:rsid w:val="002A7760"/>
    <w:rsid w:val="002A7D7F"/>
    <w:rsid w:val="002B0497"/>
    <w:rsid w:val="002B04A4"/>
    <w:rsid w:val="002B052F"/>
    <w:rsid w:val="002B06F0"/>
    <w:rsid w:val="002B0801"/>
    <w:rsid w:val="002B08F2"/>
    <w:rsid w:val="002B0C9F"/>
    <w:rsid w:val="002B1062"/>
    <w:rsid w:val="002B138C"/>
    <w:rsid w:val="002B14FE"/>
    <w:rsid w:val="002B1558"/>
    <w:rsid w:val="002B1898"/>
    <w:rsid w:val="002B1A7C"/>
    <w:rsid w:val="002B1D32"/>
    <w:rsid w:val="002B26C1"/>
    <w:rsid w:val="002B28F4"/>
    <w:rsid w:val="002B2949"/>
    <w:rsid w:val="002B2D0C"/>
    <w:rsid w:val="002B3263"/>
    <w:rsid w:val="002B367F"/>
    <w:rsid w:val="002B3A55"/>
    <w:rsid w:val="002B3BFE"/>
    <w:rsid w:val="002B401B"/>
    <w:rsid w:val="002B4232"/>
    <w:rsid w:val="002B461A"/>
    <w:rsid w:val="002B4782"/>
    <w:rsid w:val="002B5014"/>
    <w:rsid w:val="002B54C1"/>
    <w:rsid w:val="002B54E2"/>
    <w:rsid w:val="002B54E8"/>
    <w:rsid w:val="002B59F9"/>
    <w:rsid w:val="002B5AE6"/>
    <w:rsid w:val="002B5BA2"/>
    <w:rsid w:val="002B5E81"/>
    <w:rsid w:val="002B5E97"/>
    <w:rsid w:val="002B6169"/>
    <w:rsid w:val="002B6E3F"/>
    <w:rsid w:val="002B703B"/>
    <w:rsid w:val="002B713C"/>
    <w:rsid w:val="002B7188"/>
    <w:rsid w:val="002B72BC"/>
    <w:rsid w:val="002B79A8"/>
    <w:rsid w:val="002C036F"/>
    <w:rsid w:val="002C0540"/>
    <w:rsid w:val="002C05C7"/>
    <w:rsid w:val="002C071D"/>
    <w:rsid w:val="002C0821"/>
    <w:rsid w:val="002C09FB"/>
    <w:rsid w:val="002C16D2"/>
    <w:rsid w:val="002C199A"/>
    <w:rsid w:val="002C1A8B"/>
    <w:rsid w:val="002C1B0D"/>
    <w:rsid w:val="002C28B0"/>
    <w:rsid w:val="002C2D76"/>
    <w:rsid w:val="002C30E3"/>
    <w:rsid w:val="002C320C"/>
    <w:rsid w:val="002C3F5F"/>
    <w:rsid w:val="002C4825"/>
    <w:rsid w:val="002C4CE2"/>
    <w:rsid w:val="002C4E08"/>
    <w:rsid w:val="002C507D"/>
    <w:rsid w:val="002C5672"/>
    <w:rsid w:val="002C5DA5"/>
    <w:rsid w:val="002C5DC9"/>
    <w:rsid w:val="002C617A"/>
    <w:rsid w:val="002C622D"/>
    <w:rsid w:val="002C6390"/>
    <w:rsid w:val="002C6994"/>
    <w:rsid w:val="002C6999"/>
    <w:rsid w:val="002C73AC"/>
    <w:rsid w:val="002C73F3"/>
    <w:rsid w:val="002C7960"/>
    <w:rsid w:val="002C7A04"/>
    <w:rsid w:val="002C7A67"/>
    <w:rsid w:val="002C7D29"/>
    <w:rsid w:val="002C7EF9"/>
    <w:rsid w:val="002D01C1"/>
    <w:rsid w:val="002D023C"/>
    <w:rsid w:val="002D0783"/>
    <w:rsid w:val="002D097A"/>
    <w:rsid w:val="002D0B9B"/>
    <w:rsid w:val="002D0EEA"/>
    <w:rsid w:val="002D14B8"/>
    <w:rsid w:val="002D16AE"/>
    <w:rsid w:val="002D17EC"/>
    <w:rsid w:val="002D192B"/>
    <w:rsid w:val="002D1F08"/>
    <w:rsid w:val="002D1F65"/>
    <w:rsid w:val="002D2844"/>
    <w:rsid w:val="002D2BAF"/>
    <w:rsid w:val="002D307B"/>
    <w:rsid w:val="002D366A"/>
    <w:rsid w:val="002D3A27"/>
    <w:rsid w:val="002D3B17"/>
    <w:rsid w:val="002D3B4A"/>
    <w:rsid w:val="002D3BE6"/>
    <w:rsid w:val="002D3CB3"/>
    <w:rsid w:val="002D476E"/>
    <w:rsid w:val="002D47DB"/>
    <w:rsid w:val="002D49A3"/>
    <w:rsid w:val="002D4A7B"/>
    <w:rsid w:val="002D4BA6"/>
    <w:rsid w:val="002D4CBD"/>
    <w:rsid w:val="002D4D0E"/>
    <w:rsid w:val="002D503F"/>
    <w:rsid w:val="002D534A"/>
    <w:rsid w:val="002D54E5"/>
    <w:rsid w:val="002D56DF"/>
    <w:rsid w:val="002D5907"/>
    <w:rsid w:val="002D5980"/>
    <w:rsid w:val="002D5CA2"/>
    <w:rsid w:val="002D62B6"/>
    <w:rsid w:val="002D668F"/>
    <w:rsid w:val="002D6E06"/>
    <w:rsid w:val="002D6E52"/>
    <w:rsid w:val="002D7532"/>
    <w:rsid w:val="002D792F"/>
    <w:rsid w:val="002D7B45"/>
    <w:rsid w:val="002D7D8F"/>
    <w:rsid w:val="002D7E8B"/>
    <w:rsid w:val="002E0170"/>
    <w:rsid w:val="002E1019"/>
    <w:rsid w:val="002E11EE"/>
    <w:rsid w:val="002E192E"/>
    <w:rsid w:val="002E193C"/>
    <w:rsid w:val="002E1BC5"/>
    <w:rsid w:val="002E23B9"/>
    <w:rsid w:val="002E2739"/>
    <w:rsid w:val="002E30AB"/>
    <w:rsid w:val="002E37F9"/>
    <w:rsid w:val="002E3862"/>
    <w:rsid w:val="002E3A6C"/>
    <w:rsid w:val="002E3C41"/>
    <w:rsid w:val="002E3DEC"/>
    <w:rsid w:val="002E41EB"/>
    <w:rsid w:val="002E47A2"/>
    <w:rsid w:val="002E4C34"/>
    <w:rsid w:val="002E4F84"/>
    <w:rsid w:val="002E5540"/>
    <w:rsid w:val="002E56B5"/>
    <w:rsid w:val="002E59DA"/>
    <w:rsid w:val="002E59DB"/>
    <w:rsid w:val="002E5A5B"/>
    <w:rsid w:val="002E60E1"/>
    <w:rsid w:val="002E6D30"/>
    <w:rsid w:val="002E7442"/>
    <w:rsid w:val="002E7910"/>
    <w:rsid w:val="002E7965"/>
    <w:rsid w:val="002E7C2A"/>
    <w:rsid w:val="002F0BC9"/>
    <w:rsid w:val="002F0EF9"/>
    <w:rsid w:val="002F10F5"/>
    <w:rsid w:val="002F1151"/>
    <w:rsid w:val="002F1186"/>
    <w:rsid w:val="002F16B1"/>
    <w:rsid w:val="002F1B58"/>
    <w:rsid w:val="002F1B93"/>
    <w:rsid w:val="002F2237"/>
    <w:rsid w:val="002F223E"/>
    <w:rsid w:val="002F29B4"/>
    <w:rsid w:val="002F2B86"/>
    <w:rsid w:val="002F2BF3"/>
    <w:rsid w:val="002F313A"/>
    <w:rsid w:val="002F3485"/>
    <w:rsid w:val="002F3558"/>
    <w:rsid w:val="002F3912"/>
    <w:rsid w:val="002F3DC3"/>
    <w:rsid w:val="002F456F"/>
    <w:rsid w:val="002F470D"/>
    <w:rsid w:val="002F4A6B"/>
    <w:rsid w:val="002F4E0B"/>
    <w:rsid w:val="002F5F18"/>
    <w:rsid w:val="002F5F4E"/>
    <w:rsid w:val="002F627D"/>
    <w:rsid w:val="002F6390"/>
    <w:rsid w:val="002F6C30"/>
    <w:rsid w:val="002F6E50"/>
    <w:rsid w:val="002F6FCE"/>
    <w:rsid w:val="002F701C"/>
    <w:rsid w:val="002F750F"/>
    <w:rsid w:val="002F7560"/>
    <w:rsid w:val="002F77E5"/>
    <w:rsid w:val="00300013"/>
    <w:rsid w:val="0030092A"/>
    <w:rsid w:val="00300975"/>
    <w:rsid w:val="00300985"/>
    <w:rsid w:val="00301686"/>
    <w:rsid w:val="00301A69"/>
    <w:rsid w:val="00301EDF"/>
    <w:rsid w:val="00302A03"/>
    <w:rsid w:val="00302D6A"/>
    <w:rsid w:val="00302E48"/>
    <w:rsid w:val="00302EC7"/>
    <w:rsid w:val="0030306B"/>
    <w:rsid w:val="00303238"/>
    <w:rsid w:val="00303374"/>
    <w:rsid w:val="0030352B"/>
    <w:rsid w:val="00303C4F"/>
    <w:rsid w:val="00303D39"/>
    <w:rsid w:val="00303FBC"/>
    <w:rsid w:val="003045F3"/>
    <w:rsid w:val="0030497F"/>
    <w:rsid w:val="00304B87"/>
    <w:rsid w:val="0030503E"/>
    <w:rsid w:val="003051BA"/>
    <w:rsid w:val="00305262"/>
    <w:rsid w:val="003058E8"/>
    <w:rsid w:val="00305B3E"/>
    <w:rsid w:val="00305CF3"/>
    <w:rsid w:val="00305FE1"/>
    <w:rsid w:val="00306024"/>
    <w:rsid w:val="003060AB"/>
    <w:rsid w:val="00306248"/>
    <w:rsid w:val="0030657E"/>
    <w:rsid w:val="00306640"/>
    <w:rsid w:val="003066E9"/>
    <w:rsid w:val="0030709E"/>
    <w:rsid w:val="0030711A"/>
    <w:rsid w:val="00307581"/>
    <w:rsid w:val="00307BC2"/>
    <w:rsid w:val="00307D39"/>
    <w:rsid w:val="00310199"/>
    <w:rsid w:val="003101AE"/>
    <w:rsid w:val="003101DE"/>
    <w:rsid w:val="003102A0"/>
    <w:rsid w:val="003106B2"/>
    <w:rsid w:val="00311050"/>
    <w:rsid w:val="003110B7"/>
    <w:rsid w:val="003113DB"/>
    <w:rsid w:val="00311BBE"/>
    <w:rsid w:val="00311C4C"/>
    <w:rsid w:val="00311DBD"/>
    <w:rsid w:val="00311E26"/>
    <w:rsid w:val="003122E0"/>
    <w:rsid w:val="00312681"/>
    <w:rsid w:val="003128C7"/>
    <w:rsid w:val="00312A4A"/>
    <w:rsid w:val="003130AD"/>
    <w:rsid w:val="0031336F"/>
    <w:rsid w:val="0031337A"/>
    <w:rsid w:val="00313860"/>
    <w:rsid w:val="00314004"/>
    <w:rsid w:val="00314490"/>
    <w:rsid w:val="003144B2"/>
    <w:rsid w:val="00314B8B"/>
    <w:rsid w:val="00314DE1"/>
    <w:rsid w:val="00314FBC"/>
    <w:rsid w:val="00315143"/>
    <w:rsid w:val="003154F0"/>
    <w:rsid w:val="0031553E"/>
    <w:rsid w:val="00315C17"/>
    <w:rsid w:val="00315C3A"/>
    <w:rsid w:val="00315D3C"/>
    <w:rsid w:val="00315F2E"/>
    <w:rsid w:val="00316541"/>
    <w:rsid w:val="00316638"/>
    <w:rsid w:val="003168C1"/>
    <w:rsid w:val="00316F08"/>
    <w:rsid w:val="00316FB8"/>
    <w:rsid w:val="0031728C"/>
    <w:rsid w:val="003173C9"/>
    <w:rsid w:val="003178BF"/>
    <w:rsid w:val="00317F8C"/>
    <w:rsid w:val="0032033B"/>
    <w:rsid w:val="003203C6"/>
    <w:rsid w:val="00320AC7"/>
    <w:rsid w:val="00320E85"/>
    <w:rsid w:val="0032129E"/>
    <w:rsid w:val="0032148F"/>
    <w:rsid w:val="0032151F"/>
    <w:rsid w:val="00321C30"/>
    <w:rsid w:val="00322365"/>
    <w:rsid w:val="003225C7"/>
    <w:rsid w:val="003226AE"/>
    <w:rsid w:val="003227A2"/>
    <w:rsid w:val="00322ACA"/>
    <w:rsid w:val="00322CD1"/>
    <w:rsid w:val="00322F7E"/>
    <w:rsid w:val="00322FA5"/>
    <w:rsid w:val="00323320"/>
    <w:rsid w:val="003234A5"/>
    <w:rsid w:val="0032355D"/>
    <w:rsid w:val="00323B0C"/>
    <w:rsid w:val="00323C87"/>
    <w:rsid w:val="00323E0C"/>
    <w:rsid w:val="00324023"/>
    <w:rsid w:val="003242A8"/>
    <w:rsid w:val="00324507"/>
    <w:rsid w:val="00324732"/>
    <w:rsid w:val="00324B9D"/>
    <w:rsid w:val="00324C38"/>
    <w:rsid w:val="00324E23"/>
    <w:rsid w:val="0032506D"/>
    <w:rsid w:val="00325179"/>
    <w:rsid w:val="003256AA"/>
    <w:rsid w:val="00325729"/>
    <w:rsid w:val="00325730"/>
    <w:rsid w:val="00325823"/>
    <w:rsid w:val="00325C5F"/>
    <w:rsid w:val="00325DB1"/>
    <w:rsid w:val="00326075"/>
    <w:rsid w:val="00326640"/>
    <w:rsid w:val="0032667B"/>
    <w:rsid w:val="00326843"/>
    <w:rsid w:val="00326866"/>
    <w:rsid w:val="0032688D"/>
    <w:rsid w:val="00326FBA"/>
    <w:rsid w:val="00327323"/>
    <w:rsid w:val="003275DF"/>
    <w:rsid w:val="00327982"/>
    <w:rsid w:val="00327AC3"/>
    <w:rsid w:val="003303B8"/>
    <w:rsid w:val="00331236"/>
    <w:rsid w:val="00331258"/>
    <w:rsid w:val="00331333"/>
    <w:rsid w:val="0033134C"/>
    <w:rsid w:val="0033160A"/>
    <w:rsid w:val="00331E41"/>
    <w:rsid w:val="003323B2"/>
    <w:rsid w:val="0033242E"/>
    <w:rsid w:val="00332983"/>
    <w:rsid w:val="00332F5A"/>
    <w:rsid w:val="00333227"/>
    <w:rsid w:val="00333881"/>
    <w:rsid w:val="003339D4"/>
    <w:rsid w:val="00333A9D"/>
    <w:rsid w:val="00334514"/>
    <w:rsid w:val="0033477A"/>
    <w:rsid w:val="00334E50"/>
    <w:rsid w:val="0033504B"/>
    <w:rsid w:val="0033527E"/>
    <w:rsid w:val="003355DC"/>
    <w:rsid w:val="00335843"/>
    <w:rsid w:val="00335DA4"/>
    <w:rsid w:val="00335E1B"/>
    <w:rsid w:val="00336331"/>
    <w:rsid w:val="0033648E"/>
    <w:rsid w:val="00336654"/>
    <w:rsid w:val="00336F01"/>
    <w:rsid w:val="003370A1"/>
    <w:rsid w:val="003371FE"/>
    <w:rsid w:val="003374D4"/>
    <w:rsid w:val="003379BF"/>
    <w:rsid w:val="00337C06"/>
    <w:rsid w:val="00337CFC"/>
    <w:rsid w:val="00337F2B"/>
    <w:rsid w:val="00340512"/>
    <w:rsid w:val="00340630"/>
    <w:rsid w:val="0034167D"/>
    <w:rsid w:val="0034174A"/>
    <w:rsid w:val="00341AB7"/>
    <w:rsid w:val="00341D7F"/>
    <w:rsid w:val="0034279B"/>
    <w:rsid w:val="00342890"/>
    <w:rsid w:val="0034289F"/>
    <w:rsid w:val="00342CDB"/>
    <w:rsid w:val="003431C1"/>
    <w:rsid w:val="00343653"/>
    <w:rsid w:val="00343754"/>
    <w:rsid w:val="003437E9"/>
    <w:rsid w:val="00343854"/>
    <w:rsid w:val="003439DA"/>
    <w:rsid w:val="00343B52"/>
    <w:rsid w:val="0034428A"/>
    <w:rsid w:val="00344301"/>
    <w:rsid w:val="00344354"/>
    <w:rsid w:val="003449F8"/>
    <w:rsid w:val="00344C5A"/>
    <w:rsid w:val="00344DC1"/>
    <w:rsid w:val="00344F98"/>
    <w:rsid w:val="00344FFB"/>
    <w:rsid w:val="0034537D"/>
    <w:rsid w:val="00345959"/>
    <w:rsid w:val="00345B10"/>
    <w:rsid w:val="00345D5D"/>
    <w:rsid w:val="00345DBB"/>
    <w:rsid w:val="00346233"/>
    <w:rsid w:val="003466DC"/>
    <w:rsid w:val="00346B46"/>
    <w:rsid w:val="00346C3E"/>
    <w:rsid w:val="003471C8"/>
    <w:rsid w:val="00347EBE"/>
    <w:rsid w:val="00350048"/>
    <w:rsid w:val="00350324"/>
    <w:rsid w:val="00350451"/>
    <w:rsid w:val="0035065E"/>
    <w:rsid w:val="0035098A"/>
    <w:rsid w:val="00350ACC"/>
    <w:rsid w:val="00350E8C"/>
    <w:rsid w:val="0035171B"/>
    <w:rsid w:val="00351F20"/>
    <w:rsid w:val="0035230F"/>
    <w:rsid w:val="003528C6"/>
    <w:rsid w:val="00352AFF"/>
    <w:rsid w:val="00352DC3"/>
    <w:rsid w:val="00352F6A"/>
    <w:rsid w:val="00352FD0"/>
    <w:rsid w:val="00353176"/>
    <w:rsid w:val="00353418"/>
    <w:rsid w:val="00353665"/>
    <w:rsid w:val="00353F54"/>
    <w:rsid w:val="003543E5"/>
    <w:rsid w:val="00354420"/>
    <w:rsid w:val="003544CC"/>
    <w:rsid w:val="00354880"/>
    <w:rsid w:val="00354A44"/>
    <w:rsid w:val="00354E16"/>
    <w:rsid w:val="00354FD5"/>
    <w:rsid w:val="00355008"/>
    <w:rsid w:val="0035511D"/>
    <w:rsid w:val="00355383"/>
    <w:rsid w:val="003555A0"/>
    <w:rsid w:val="003555FF"/>
    <w:rsid w:val="00356031"/>
    <w:rsid w:val="00356226"/>
    <w:rsid w:val="003562B5"/>
    <w:rsid w:val="003566AC"/>
    <w:rsid w:val="0035676F"/>
    <w:rsid w:val="00356D16"/>
    <w:rsid w:val="00356EDC"/>
    <w:rsid w:val="003570D4"/>
    <w:rsid w:val="0035745A"/>
    <w:rsid w:val="0035770C"/>
    <w:rsid w:val="003578DE"/>
    <w:rsid w:val="00360448"/>
    <w:rsid w:val="0036052B"/>
    <w:rsid w:val="003607D2"/>
    <w:rsid w:val="00360B6D"/>
    <w:rsid w:val="00360D51"/>
    <w:rsid w:val="00360F92"/>
    <w:rsid w:val="00361660"/>
    <w:rsid w:val="00361808"/>
    <w:rsid w:val="00361B40"/>
    <w:rsid w:val="00361C65"/>
    <w:rsid w:val="00361F4A"/>
    <w:rsid w:val="00362292"/>
    <w:rsid w:val="00362400"/>
    <w:rsid w:val="003628A7"/>
    <w:rsid w:val="0036290E"/>
    <w:rsid w:val="00362D3A"/>
    <w:rsid w:val="00363246"/>
    <w:rsid w:val="00363A75"/>
    <w:rsid w:val="00363AE9"/>
    <w:rsid w:val="00363D7C"/>
    <w:rsid w:val="00363E33"/>
    <w:rsid w:val="0036468F"/>
    <w:rsid w:val="00364775"/>
    <w:rsid w:val="00364865"/>
    <w:rsid w:val="00364FCF"/>
    <w:rsid w:val="00365077"/>
    <w:rsid w:val="00365116"/>
    <w:rsid w:val="00365326"/>
    <w:rsid w:val="003653AF"/>
    <w:rsid w:val="003653D7"/>
    <w:rsid w:val="00365438"/>
    <w:rsid w:val="003656F7"/>
    <w:rsid w:val="00365991"/>
    <w:rsid w:val="00365A55"/>
    <w:rsid w:val="00366444"/>
    <w:rsid w:val="00366644"/>
    <w:rsid w:val="003666F4"/>
    <w:rsid w:val="00366B50"/>
    <w:rsid w:val="00367086"/>
    <w:rsid w:val="003674A0"/>
    <w:rsid w:val="003674BC"/>
    <w:rsid w:val="0036758B"/>
    <w:rsid w:val="00367A36"/>
    <w:rsid w:val="00367E0F"/>
    <w:rsid w:val="00370260"/>
    <w:rsid w:val="0037087C"/>
    <w:rsid w:val="00370886"/>
    <w:rsid w:val="0037097B"/>
    <w:rsid w:val="00371123"/>
    <w:rsid w:val="0037119E"/>
    <w:rsid w:val="00371291"/>
    <w:rsid w:val="00371747"/>
    <w:rsid w:val="003718B0"/>
    <w:rsid w:val="003719C1"/>
    <w:rsid w:val="00371AB3"/>
    <w:rsid w:val="00371B70"/>
    <w:rsid w:val="00372050"/>
    <w:rsid w:val="00372052"/>
    <w:rsid w:val="0037294B"/>
    <w:rsid w:val="003729B1"/>
    <w:rsid w:val="00372A90"/>
    <w:rsid w:val="00372BE2"/>
    <w:rsid w:val="00372CCA"/>
    <w:rsid w:val="003732AF"/>
    <w:rsid w:val="003735F9"/>
    <w:rsid w:val="003736A1"/>
    <w:rsid w:val="00373E91"/>
    <w:rsid w:val="00373FA6"/>
    <w:rsid w:val="00374147"/>
    <w:rsid w:val="003742C2"/>
    <w:rsid w:val="003743D9"/>
    <w:rsid w:val="003748A2"/>
    <w:rsid w:val="00374957"/>
    <w:rsid w:val="00374C6B"/>
    <w:rsid w:val="00374CC1"/>
    <w:rsid w:val="003753E4"/>
    <w:rsid w:val="003753F5"/>
    <w:rsid w:val="00375D60"/>
    <w:rsid w:val="00375E48"/>
    <w:rsid w:val="003760D7"/>
    <w:rsid w:val="003766A3"/>
    <w:rsid w:val="00376A3B"/>
    <w:rsid w:val="003770B6"/>
    <w:rsid w:val="00377116"/>
    <w:rsid w:val="00377390"/>
    <w:rsid w:val="003773FF"/>
    <w:rsid w:val="00377A54"/>
    <w:rsid w:val="00377A80"/>
    <w:rsid w:val="00377A82"/>
    <w:rsid w:val="003801C7"/>
    <w:rsid w:val="00380243"/>
    <w:rsid w:val="00380E3E"/>
    <w:rsid w:val="00381266"/>
    <w:rsid w:val="003814F4"/>
    <w:rsid w:val="003815DB"/>
    <w:rsid w:val="00381893"/>
    <w:rsid w:val="00381F49"/>
    <w:rsid w:val="0038224A"/>
    <w:rsid w:val="003826DA"/>
    <w:rsid w:val="00382C16"/>
    <w:rsid w:val="00382DF0"/>
    <w:rsid w:val="003831C4"/>
    <w:rsid w:val="003839B4"/>
    <w:rsid w:val="00383A02"/>
    <w:rsid w:val="00383A1A"/>
    <w:rsid w:val="00383FD1"/>
    <w:rsid w:val="003844DA"/>
    <w:rsid w:val="00384A60"/>
    <w:rsid w:val="00385197"/>
    <w:rsid w:val="003857ED"/>
    <w:rsid w:val="00385FC7"/>
    <w:rsid w:val="0038612C"/>
    <w:rsid w:val="003862F0"/>
    <w:rsid w:val="00386313"/>
    <w:rsid w:val="003876A6"/>
    <w:rsid w:val="003879CC"/>
    <w:rsid w:val="00387A24"/>
    <w:rsid w:val="00387B72"/>
    <w:rsid w:val="00387E66"/>
    <w:rsid w:val="00387E83"/>
    <w:rsid w:val="003900D3"/>
    <w:rsid w:val="003900FB"/>
    <w:rsid w:val="00390C98"/>
    <w:rsid w:val="00390F77"/>
    <w:rsid w:val="003912D1"/>
    <w:rsid w:val="00391749"/>
    <w:rsid w:val="00391A1D"/>
    <w:rsid w:val="00391B88"/>
    <w:rsid w:val="003924E5"/>
    <w:rsid w:val="003928CA"/>
    <w:rsid w:val="003929E2"/>
    <w:rsid w:val="00392ACA"/>
    <w:rsid w:val="00392B29"/>
    <w:rsid w:val="00392BB5"/>
    <w:rsid w:val="00392CAC"/>
    <w:rsid w:val="00393185"/>
    <w:rsid w:val="00393D0C"/>
    <w:rsid w:val="00393EBB"/>
    <w:rsid w:val="00394143"/>
    <w:rsid w:val="003941F1"/>
    <w:rsid w:val="003942CB"/>
    <w:rsid w:val="0039498C"/>
    <w:rsid w:val="00394C68"/>
    <w:rsid w:val="003952ED"/>
    <w:rsid w:val="0039570D"/>
    <w:rsid w:val="00396071"/>
    <w:rsid w:val="003963C4"/>
    <w:rsid w:val="00396457"/>
    <w:rsid w:val="0039658E"/>
    <w:rsid w:val="00396672"/>
    <w:rsid w:val="00396D5D"/>
    <w:rsid w:val="00396E60"/>
    <w:rsid w:val="00396E84"/>
    <w:rsid w:val="00397267"/>
    <w:rsid w:val="0039732F"/>
    <w:rsid w:val="003973A4"/>
    <w:rsid w:val="003977E6"/>
    <w:rsid w:val="0039798F"/>
    <w:rsid w:val="00397B11"/>
    <w:rsid w:val="00397C0F"/>
    <w:rsid w:val="00397D25"/>
    <w:rsid w:val="003A0344"/>
    <w:rsid w:val="003A076E"/>
    <w:rsid w:val="003A0806"/>
    <w:rsid w:val="003A0B1F"/>
    <w:rsid w:val="003A0B3F"/>
    <w:rsid w:val="003A1125"/>
    <w:rsid w:val="003A124F"/>
    <w:rsid w:val="003A1354"/>
    <w:rsid w:val="003A1935"/>
    <w:rsid w:val="003A19A7"/>
    <w:rsid w:val="003A1A9B"/>
    <w:rsid w:val="003A1CBC"/>
    <w:rsid w:val="003A1DD4"/>
    <w:rsid w:val="003A1EA9"/>
    <w:rsid w:val="003A2A39"/>
    <w:rsid w:val="003A2B91"/>
    <w:rsid w:val="003A2BCA"/>
    <w:rsid w:val="003A2DA1"/>
    <w:rsid w:val="003A2F28"/>
    <w:rsid w:val="003A2FC8"/>
    <w:rsid w:val="003A34B2"/>
    <w:rsid w:val="003A34C9"/>
    <w:rsid w:val="003A3634"/>
    <w:rsid w:val="003A3981"/>
    <w:rsid w:val="003A3BB8"/>
    <w:rsid w:val="003A4138"/>
    <w:rsid w:val="003A4B23"/>
    <w:rsid w:val="003A4B73"/>
    <w:rsid w:val="003A52AC"/>
    <w:rsid w:val="003A5856"/>
    <w:rsid w:val="003A5AA8"/>
    <w:rsid w:val="003A5AD8"/>
    <w:rsid w:val="003A5B1E"/>
    <w:rsid w:val="003A5D11"/>
    <w:rsid w:val="003A63BE"/>
    <w:rsid w:val="003A6CB6"/>
    <w:rsid w:val="003A706E"/>
    <w:rsid w:val="003A726F"/>
    <w:rsid w:val="003A7415"/>
    <w:rsid w:val="003A746A"/>
    <w:rsid w:val="003A7666"/>
    <w:rsid w:val="003A76F4"/>
    <w:rsid w:val="003A7909"/>
    <w:rsid w:val="003B068B"/>
    <w:rsid w:val="003B0B1D"/>
    <w:rsid w:val="003B0C92"/>
    <w:rsid w:val="003B0FAD"/>
    <w:rsid w:val="003B10C6"/>
    <w:rsid w:val="003B1A22"/>
    <w:rsid w:val="003B1F80"/>
    <w:rsid w:val="003B21AE"/>
    <w:rsid w:val="003B24C9"/>
    <w:rsid w:val="003B284E"/>
    <w:rsid w:val="003B2CEF"/>
    <w:rsid w:val="003B340E"/>
    <w:rsid w:val="003B3526"/>
    <w:rsid w:val="003B354B"/>
    <w:rsid w:val="003B3768"/>
    <w:rsid w:val="003B3DCD"/>
    <w:rsid w:val="003B4B43"/>
    <w:rsid w:val="003B4CE9"/>
    <w:rsid w:val="003B513B"/>
    <w:rsid w:val="003B5295"/>
    <w:rsid w:val="003B5340"/>
    <w:rsid w:val="003B5C3A"/>
    <w:rsid w:val="003B64A5"/>
    <w:rsid w:val="003B64EB"/>
    <w:rsid w:val="003B673F"/>
    <w:rsid w:val="003B6A39"/>
    <w:rsid w:val="003B6BD2"/>
    <w:rsid w:val="003B6D10"/>
    <w:rsid w:val="003B6D5C"/>
    <w:rsid w:val="003B6EEA"/>
    <w:rsid w:val="003B71D2"/>
    <w:rsid w:val="003B73C7"/>
    <w:rsid w:val="003B751D"/>
    <w:rsid w:val="003B77B6"/>
    <w:rsid w:val="003B79C0"/>
    <w:rsid w:val="003B7C07"/>
    <w:rsid w:val="003B7C76"/>
    <w:rsid w:val="003B7C84"/>
    <w:rsid w:val="003C0284"/>
    <w:rsid w:val="003C0416"/>
    <w:rsid w:val="003C0424"/>
    <w:rsid w:val="003C119D"/>
    <w:rsid w:val="003C1475"/>
    <w:rsid w:val="003C173B"/>
    <w:rsid w:val="003C1A2B"/>
    <w:rsid w:val="003C1BA4"/>
    <w:rsid w:val="003C1D47"/>
    <w:rsid w:val="003C1EB6"/>
    <w:rsid w:val="003C238C"/>
    <w:rsid w:val="003C23CB"/>
    <w:rsid w:val="003C25BA"/>
    <w:rsid w:val="003C260F"/>
    <w:rsid w:val="003C2688"/>
    <w:rsid w:val="003C26ED"/>
    <w:rsid w:val="003C2E23"/>
    <w:rsid w:val="003C2E29"/>
    <w:rsid w:val="003C2F43"/>
    <w:rsid w:val="003C31C3"/>
    <w:rsid w:val="003C346D"/>
    <w:rsid w:val="003C34D0"/>
    <w:rsid w:val="003C3740"/>
    <w:rsid w:val="003C3832"/>
    <w:rsid w:val="003C3929"/>
    <w:rsid w:val="003C3DD7"/>
    <w:rsid w:val="003C3EED"/>
    <w:rsid w:val="003C413A"/>
    <w:rsid w:val="003C42A7"/>
    <w:rsid w:val="003C4929"/>
    <w:rsid w:val="003C4FCD"/>
    <w:rsid w:val="003C508A"/>
    <w:rsid w:val="003C5B67"/>
    <w:rsid w:val="003C5C85"/>
    <w:rsid w:val="003C5E03"/>
    <w:rsid w:val="003C5FEF"/>
    <w:rsid w:val="003C6080"/>
    <w:rsid w:val="003C6473"/>
    <w:rsid w:val="003C64DB"/>
    <w:rsid w:val="003C6540"/>
    <w:rsid w:val="003C66F7"/>
    <w:rsid w:val="003C6724"/>
    <w:rsid w:val="003C6800"/>
    <w:rsid w:val="003C6ACD"/>
    <w:rsid w:val="003C6B2B"/>
    <w:rsid w:val="003C6C2E"/>
    <w:rsid w:val="003C7589"/>
    <w:rsid w:val="003C75A0"/>
    <w:rsid w:val="003C7E7C"/>
    <w:rsid w:val="003C7F9B"/>
    <w:rsid w:val="003D0745"/>
    <w:rsid w:val="003D0F40"/>
    <w:rsid w:val="003D1390"/>
    <w:rsid w:val="003D158C"/>
    <w:rsid w:val="003D1CF9"/>
    <w:rsid w:val="003D2727"/>
    <w:rsid w:val="003D281A"/>
    <w:rsid w:val="003D2909"/>
    <w:rsid w:val="003D2A8B"/>
    <w:rsid w:val="003D2D5B"/>
    <w:rsid w:val="003D3155"/>
    <w:rsid w:val="003D37A2"/>
    <w:rsid w:val="003D39A4"/>
    <w:rsid w:val="003D3AD8"/>
    <w:rsid w:val="003D3FC7"/>
    <w:rsid w:val="003D443A"/>
    <w:rsid w:val="003D4C8F"/>
    <w:rsid w:val="003D502F"/>
    <w:rsid w:val="003D52F1"/>
    <w:rsid w:val="003D53B3"/>
    <w:rsid w:val="003D6130"/>
    <w:rsid w:val="003D6131"/>
    <w:rsid w:val="003D6158"/>
    <w:rsid w:val="003D71B4"/>
    <w:rsid w:val="003D73BC"/>
    <w:rsid w:val="003D786D"/>
    <w:rsid w:val="003D7E08"/>
    <w:rsid w:val="003D7E4D"/>
    <w:rsid w:val="003E076A"/>
    <w:rsid w:val="003E1356"/>
    <w:rsid w:val="003E140C"/>
    <w:rsid w:val="003E1B4A"/>
    <w:rsid w:val="003E1D6E"/>
    <w:rsid w:val="003E2124"/>
    <w:rsid w:val="003E2455"/>
    <w:rsid w:val="003E245C"/>
    <w:rsid w:val="003E2603"/>
    <w:rsid w:val="003E2698"/>
    <w:rsid w:val="003E2B68"/>
    <w:rsid w:val="003E3634"/>
    <w:rsid w:val="003E36F8"/>
    <w:rsid w:val="003E3E94"/>
    <w:rsid w:val="003E41D8"/>
    <w:rsid w:val="003E433A"/>
    <w:rsid w:val="003E4A77"/>
    <w:rsid w:val="003E5721"/>
    <w:rsid w:val="003E5985"/>
    <w:rsid w:val="003E5A5F"/>
    <w:rsid w:val="003E5CFC"/>
    <w:rsid w:val="003E5DA7"/>
    <w:rsid w:val="003E5EC2"/>
    <w:rsid w:val="003E6D4E"/>
    <w:rsid w:val="003E7D2B"/>
    <w:rsid w:val="003F01D3"/>
    <w:rsid w:val="003F0E83"/>
    <w:rsid w:val="003F1A0E"/>
    <w:rsid w:val="003F255A"/>
    <w:rsid w:val="003F2C2E"/>
    <w:rsid w:val="003F3031"/>
    <w:rsid w:val="003F305D"/>
    <w:rsid w:val="003F3171"/>
    <w:rsid w:val="003F34ED"/>
    <w:rsid w:val="003F3632"/>
    <w:rsid w:val="003F38F3"/>
    <w:rsid w:val="003F3AE1"/>
    <w:rsid w:val="003F3D45"/>
    <w:rsid w:val="003F4056"/>
    <w:rsid w:val="003F416E"/>
    <w:rsid w:val="003F41F3"/>
    <w:rsid w:val="003F4358"/>
    <w:rsid w:val="003F4381"/>
    <w:rsid w:val="003F4681"/>
    <w:rsid w:val="003F4972"/>
    <w:rsid w:val="003F4A90"/>
    <w:rsid w:val="003F4AB2"/>
    <w:rsid w:val="003F4CD1"/>
    <w:rsid w:val="003F4F51"/>
    <w:rsid w:val="003F4F6D"/>
    <w:rsid w:val="003F5457"/>
    <w:rsid w:val="003F5A04"/>
    <w:rsid w:val="003F5D4F"/>
    <w:rsid w:val="003F5E03"/>
    <w:rsid w:val="003F5FAF"/>
    <w:rsid w:val="003F6430"/>
    <w:rsid w:val="003F650B"/>
    <w:rsid w:val="003F6561"/>
    <w:rsid w:val="003F6970"/>
    <w:rsid w:val="003F6A54"/>
    <w:rsid w:val="003F6BAB"/>
    <w:rsid w:val="003F6CC8"/>
    <w:rsid w:val="003F7340"/>
    <w:rsid w:val="003F74B7"/>
    <w:rsid w:val="003F74E7"/>
    <w:rsid w:val="003F7504"/>
    <w:rsid w:val="003F7B4A"/>
    <w:rsid w:val="003F7B67"/>
    <w:rsid w:val="003F7C7E"/>
    <w:rsid w:val="003F7D83"/>
    <w:rsid w:val="003F7F5E"/>
    <w:rsid w:val="00400155"/>
    <w:rsid w:val="0040021A"/>
    <w:rsid w:val="00400308"/>
    <w:rsid w:val="00400547"/>
    <w:rsid w:val="00400856"/>
    <w:rsid w:val="00400952"/>
    <w:rsid w:val="00400BD1"/>
    <w:rsid w:val="00400EE1"/>
    <w:rsid w:val="00400FC5"/>
    <w:rsid w:val="00401020"/>
    <w:rsid w:val="0040104A"/>
    <w:rsid w:val="00401058"/>
    <w:rsid w:val="0040112F"/>
    <w:rsid w:val="004011A2"/>
    <w:rsid w:val="004013DC"/>
    <w:rsid w:val="004015B3"/>
    <w:rsid w:val="0040178B"/>
    <w:rsid w:val="00401AC8"/>
    <w:rsid w:val="00401C89"/>
    <w:rsid w:val="0040206E"/>
    <w:rsid w:val="00402805"/>
    <w:rsid w:val="00402E5E"/>
    <w:rsid w:val="0040308A"/>
    <w:rsid w:val="004031A5"/>
    <w:rsid w:val="0040350A"/>
    <w:rsid w:val="004037C6"/>
    <w:rsid w:val="00403AD0"/>
    <w:rsid w:val="00403C16"/>
    <w:rsid w:val="00403F01"/>
    <w:rsid w:val="00404985"/>
    <w:rsid w:val="0040514A"/>
    <w:rsid w:val="0040555D"/>
    <w:rsid w:val="00405811"/>
    <w:rsid w:val="00405C7B"/>
    <w:rsid w:val="00405C90"/>
    <w:rsid w:val="00405D5F"/>
    <w:rsid w:val="00405FDD"/>
    <w:rsid w:val="00406324"/>
    <w:rsid w:val="0040693F"/>
    <w:rsid w:val="00407139"/>
    <w:rsid w:val="004071BE"/>
    <w:rsid w:val="00407607"/>
    <w:rsid w:val="004078AD"/>
    <w:rsid w:val="0041028A"/>
    <w:rsid w:val="0041041E"/>
    <w:rsid w:val="00410424"/>
    <w:rsid w:val="004104E7"/>
    <w:rsid w:val="0041095D"/>
    <w:rsid w:val="00411D66"/>
    <w:rsid w:val="00412404"/>
    <w:rsid w:val="00412B86"/>
    <w:rsid w:val="00412E51"/>
    <w:rsid w:val="0041362E"/>
    <w:rsid w:val="00413B07"/>
    <w:rsid w:val="00413B7F"/>
    <w:rsid w:val="00413FCE"/>
    <w:rsid w:val="0041445B"/>
    <w:rsid w:val="00414548"/>
    <w:rsid w:val="0041473F"/>
    <w:rsid w:val="004148AA"/>
    <w:rsid w:val="00414D81"/>
    <w:rsid w:val="0041553F"/>
    <w:rsid w:val="0041569F"/>
    <w:rsid w:val="004157CE"/>
    <w:rsid w:val="0041582D"/>
    <w:rsid w:val="00415CBA"/>
    <w:rsid w:val="00416602"/>
    <w:rsid w:val="00416655"/>
    <w:rsid w:val="00416C32"/>
    <w:rsid w:val="004171E7"/>
    <w:rsid w:val="0041783E"/>
    <w:rsid w:val="004178B0"/>
    <w:rsid w:val="00417AD8"/>
    <w:rsid w:val="00417D5F"/>
    <w:rsid w:val="00420195"/>
    <w:rsid w:val="00420818"/>
    <w:rsid w:val="004208F7"/>
    <w:rsid w:val="00420C6E"/>
    <w:rsid w:val="00420F30"/>
    <w:rsid w:val="004211CC"/>
    <w:rsid w:val="00422514"/>
    <w:rsid w:val="004225E7"/>
    <w:rsid w:val="0042272D"/>
    <w:rsid w:val="004227F1"/>
    <w:rsid w:val="00422A0A"/>
    <w:rsid w:val="00423101"/>
    <w:rsid w:val="004242AF"/>
    <w:rsid w:val="0042494D"/>
    <w:rsid w:val="00424DE2"/>
    <w:rsid w:val="00425114"/>
    <w:rsid w:val="0042516B"/>
    <w:rsid w:val="00425220"/>
    <w:rsid w:val="004253C0"/>
    <w:rsid w:val="00425A7B"/>
    <w:rsid w:val="00425CE2"/>
    <w:rsid w:val="00425E0D"/>
    <w:rsid w:val="00425F32"/>
    <w:rsid w:val="00426187"/>
    <w:rsid w:val="004263D9"/>
    <w:rsid w:val="00426454"/>
    <w:rsid w:val="004264D9"/>
    <w:rsid w:val="00426784"/>
    <w:rsid w:val="004268B7"/>
    <w:rsid w:val="00426AC7"/>
    <w:rsid w:val="00426B75"/>
    <w:rsid w:val="00426C0D"/>
    <w:rsid w:val="00426E34"/>
    <w:rsid w:val="0042706E"/>
    <w:rsid w:val="00427A57"/>
    <w:rsid w:val="0043020C"/>
    <w:rsid w:val="00430409"/>
    <w:rsid w:val="004304BC"/>
    <w:rsid w:val="004305B9"/>
    <w:rsid w:val="00430837"/>
    <w:rsid w:val="004309E1"/>
    <w:rsid w:val="00430C42"/>
    <w:rsid w:val="00430C8B"/>
    <w:rsid w:val="004312E8"/>
    <w:rsid w:val="004315FF"/>
    <w:rsid w:val="00431836"/>
    <w:rsid w:val="00431A55"/>
    <w:rsid w:val="00431E07"/>
    <w:rsid w:val="00431E7C"/>
    <w:rsid w:val="0043210F"/>
    <w:rsid w:val="0043246D"/>
    <w:rsid w:val="00432856"/>
    <w:rsid w:val="004328AE"/>
    <w:rsid w:val="00432A5C"/>
    <w:rsid w:val="00432B6B"/>
    <w:rsid w:val="00432D82"/>
    <w:rsid w:val="004330FD"/>
    <w:rsid w:val="0043323E"/>
    <w:rsid w:val="004339D3"/>
    <w:rsid w:val="00433CC2"/>
    <w:rsid w:val="00433D71"/>
    <w:rsid w:val="00433D87"/>
    <w:rsid w:val="00433F36"/>
    <w:rsid w:val="0043432B"/>
    <w:rsid w:val="00434923"/>
    <w:rsid w:val="0043518B"/>
    <w:rsid w:val="004351A8"/>
    <w:rsid w:val="004355A4"/>
    <w:rsid w:val="00435FF5"/>
    <w:rsid w:val="00436093"/>
    <w:rsid w:val="0043651A"/>
    <w:rsid w:val="00436705"/>
    <w:rsid w:val="00436EC8"/>
    <w:rsid w:val="004378EA"/>
    <w:rsid w:val="00437BE3"/>
    <w:rsid w:val="0044033E"/>
    <w:rsid w:val="00440525"/>
    <w:rsid w:val="004407E5"/>
    <w:rsid w:val="00440C0D"/>
    <w:rsid w:val="004411E3"/>
    <w:rsid w:val="0044129E"/>
    <w:rsid w:val="00441A46"/>
    <w:rsid w:val="00441C7F"/>
    <w:rsid w:val="00442C47"/>
    <w:rsid w:val="004436F0"/>
    <w:rsid w:val="00443B3E"/>
    <w:rsid w:val="00443DFD"/>
    <w:rsid w:val="00443E40"/>
    <w:rsid w:val="0044411B"/>
    <w:rsid w:val="004441DF"/>
    <w:rsid w:val="004443DC"/>
    <w:rsid w:val="004444DF"/>
    <w:rsid w:val="0044479A"/>
    <w:rsid w:val="00444BEB"/>
    <w:rsid w:val="0044553E"/>
    <w:rsid w:val="00445E50"/>
    <w:rsid w:val="00446123"/>
    <w:rsid w:val="004472CC"/>
    <w:rsid w:val="0044776A"/>
    <w:rsid w:val="004478E4"/>
    <w:rsid w:val="0044794C"/>
    <w:rsid w:val="00447E06"/>
    <w:rsid w:val="004502D8"/>
    <w:rsid w:val="00450422"/>
    <w:rsid w:val="00450536"/>
    <w:rsid w:val="00450ABA"/>
    <w:rsid w:val="004511DD"/>
    <w:rsid w:val="0045129B"/>
    <w:rsid w:val="00451432"/>
    <w:rsid w:val="0045164B"/>
    <w:rsid w:val="004519D7"/>
    <w:rsid w:val="00451B52"/>
    <w:rsid w:val="00451E62"/>
    <w:rsid w:val="00452B01"/>
    <w:rsid w:val="004531BE"/>
    <w:rsid w:val="004531DE"/>
    <w:rsid w:val="0045395A"/>
    <w:rsid w:val="00453F3E"/>
    <w:rsid w:val="004540B1"/>
    <w:rsid w:val="00454235"/>
    <w:rsid w:val="00454333"/>
    <w:rsid w:val="00454443"/>
    <w:rsid w:val="00454D53"/>
    <w:rsid w:val="00456100"/>
    <w:rsid w:val="00456320"/>
    <w:rsid w:val="00456499"/>
    <w:rsid w:val="0045696B"/>
    <w:rsid w:val="00456A53"/>
    <w:rsid w:val="00456E85"/>
    <w:rsid w:val="00457429"/>
    <w:rsid w:val="0045781F"/>
    <w:rsid w:val="00457C07"/>
    <w:rsid w:val="00457CD6"/>
    <w:rsid w:val="0046001D"/>
    <w:rsid w:val="00460227"/>
    <w:rsid w:val="00460498"/>
    <w:rsid w:val="00460541"/>
    <w:rsid w:val="00460730"/>
    <w:rsid w:val="004608B5"/>
    <w:rsid w:val="004610CF"/>
    <w:rsid w:val="0046129A"/>
    <w:rsid w:val="0046208A"/>
    <w:rsid w:val="00462115"/>
    <w:rsid w:val="0046236F"/>
    <w:rsid w:val="00462397"/>
    <w:rsid w:val="00462842"/>
    <w:rsid w:val="004629D1"/>
    <w:rsid w:val="00462C34"/>
    <w:rsid w:val="00462D14"/>
    <w:rsid w:val="00462E3A"/>
    <w:rsid w:val="00462F67"/>
    <w:rsid w:val="00463012"/>
    <w:rsid w:val="00463245"/>
    <w:rsid w:val="004637B4"/>
    <w:rsid w:val="004637D0"/>
    <w:rsid w:val="0046382D"/>
    <w:rsid w:val="00463CFF"/>
    <w:rsid w:val="00464635"/>
    <w:rsid w:val="004646F8"/>
    <w:rsid w:val="0046510E"/>
    <w:rsid w:val="00465221"/>
    <w:rsid w:val="00465D76"/>
    <w:rsid w:val="00465EC7"/>
    <w:rsid w:val="00465F32"/>
    <w:rsid w:val="00466643"/>
    <w:rsid w:val="00466853"/>
    <w:rsid w:val="004668CB"/>
    <w:rsid w:val="004669CC"/>
    <w:rsid w:val="004669EF"/>
    <w:rsid w:val="00466F54"/>
    <w:rsid w:val="00467499"/>
    <w:rsid w:val="00467752"/>
    <w:rsid w:val="00467766"/>
    <w:rsid w:val="00470146"/>
    <w:rsid w:val="0047016C"/>
    <w:rsid w:val="004708A9"/>
    <w:rsid w:val="004708DF"/>
    <w:rsid w:val="00470996"/>
    <w:rsid w:val="00470BC1"/>
    <w:rsid w:val="00470FE1"/>
    <w:rsid w:val="004711F8"/>
    <w:rsid w:val="004720CE"/>
    <w:rsid w:val="00472671"/>
    <w:rsid w:val="00472E25"/>
    <w:rsid w:val="004730BE"/>
    <w:rsid w:val="0047323D"/>
    <w:rsid w:val="00473425"/>
    <w:rsid w:val="004734F8"/>
    <w:rsid w:val="00473897"/>
    <w:rsid w:val="004738EF"/>
    <w:rsid w:val="00473E6F"/>
    <w:rsid w:val="004743CC"/>
    <w:rsid w:val="004744D6"/>
    <w:rsid w:val="004747BB"/>
    <w:rsid w:val="00474C02"/>
    <w:rsid w:val="00474E5C"/>
    <w:rsid w:val="00474ECA"/>
    <w:rsid w:val="004750B5"/>
    <w:rsid w:val="004758F7"/>
    <w:rsid w:val="00475B53"/>
    <w:rsid w:val="00475CC6"/>
    <w:rsid w:val="00475F06"/>
    <w:rsid w:val="00476111"/>
    <w:rsid w:val="004762F6"/>
    <w:rsid w:val="004764B0"/>
    <w:rsid w:val="00476650"/>
    <w:rsid w:val="0047698E"/>
    <w:rsid w:val="00476B9D"/>
    <w:rsid w:val="00477E89"/>
    <w:rsid w:val="00477F86"/>
    <w:rsid w:val="00480F0F"/>
    <w:rsid w:val="00481022"/>
    <w:rsid w:val="004811B6"/>
    <w:rsid w:val="00481410"/>
    <w:rsid w:val="00481500"/>
    <w:rsid w:val="00481802"/>
    <w:rsid w:val="004818CE"/>
    <w:rsid w:val="00481DF2"/>
    <w:rsid w:val="00481E87"/>
    <w:rsid w:val="004822AD"/>
    <w:rsid w:val="00482A49"/>
    <w:rsid w:val="00482B8D"/>
    <w:rsid w:val="00482E7E"/>
    <w:rsid w:val="00483348"/>
    <w:rsid w:val="004833A1"/>
    <w:rsid w:val="0048365C"/>
    <w:rsid w:val="00483829"/>
    <w:rsid w:val="00483844"/>
    <w:rsid w:val="0048384E"/>
    <w:rsid w:val="00483BCB"/>
    <w:rsid w:val="00483D86"/>
    <w:rsid w:val="00483DDA"/>
    <w:rsid w:val="00483E2D"/>
    <w:rsid w:val="00483E74"/>
    <w:rsid w:val="00484091"/>
    <w:rsid w:val="004842E1"/>
    <w:rsid w:val="0048443D"/>
    <w:rsid w:val="004844A0"/>
    <w:rsid w:val="00484B10"/>
    <w:rsid w:val="00484D35"/>
    <w:rsid w:val="004852BD"/>
    <w:rsid w:val="00485347"/>
    <w:rsid w:val="004854A1"/>
    <w:rsid w:val="004855D9"/>
    <w:rsid w:val="00485F63"/>
    <w:rsid w:val="00486049"/>
    <w:rsid w:val="00486C38"/>
    <w:rsid w:val="00486DCD"/>
    <w:rsid w:val="00487295"/>
    <w:rsid w:val="00487BFA"/>
    <w:rsid w:val="00487EF3"/>
    <w:rsid w:val="004904D6"/>
    <w:rsid w:val="00490505"/>
    <w:rsid w:val="004909B1"/>
    <w:rsid w:val="00490A49"/>
    <w:rsid w:val="00490DE7"/>
    <w:rsid w:val="004910CB"/>
    <w:rsid w:val="004912D7"/>
    <w:rsid w:val="0049162D"/>
    <w:rsid w:val="0049168C"/>
    <w:rsid w:val="00492810"/>
    <w:rsid w:val="004928F6"/>
    <w:rsid w:val="00492B35"/>
    <w:rsid w:val="00492CA0"/>
    <w:rsid w:val="00492FF1"/>
    <w:rsid w:val="00493043"/>
    <w:rsid w:val="00493A88"/>
    <w:rsid w:val="00493AC2"/>
    <w:rsid w:val="00493FC9"/>
    <w:rsid w:val="00494441"/>
    <w:rsid w:val="004948D4"/>
    <w:rsid w:val="00494B70"/>
    <w:rsid w:val="00494BE0"/>
    <w:rsid w:val="00494DEF"/>
    <w:rsid w:val="00494F50"/>
    <w:rsid w:val="0049563A"/>
    <w:rsid w:val="0049578E"/>
    <w:rsid w:val="00495BB0"/>
    <w:rsid w:val="00495BF0"/>
    <w:rsid w:val="00495D35"/>
    <w:rsid w:val="004960C2"/>
    <w:rsid w:val="004960D3"/>
    <w:rsid w:val="004962A9"/>
    <w:rsid w:val="0049648C"/>
    <w:rsid w:val="0049670A"/>
    <w:rsid w:val="00496765"/>
    <w:rsid w:val="00496790"/>
    <w:rsid w:val="00496F67"/>
    <w:rsid w:val="00497082"/>
    <w:rsid w:val="00497125"/>
    <w:rsid w:val="004975E0"/>
    <w:rsid w:val="004A049E"/>
    <w:rsid w:val="004A070E"/>
    <w:rsid w:val="004A0756"/>
    <w:rsid w:val="004A0B07"/>
    <w:rsid w:val="004A0B44"/>
    <w:rsid w:val="004A105A"/>
    <w:rsid w:val="004A1252"/>
    <w:rsid w:val="004A14F0"/>
    <w:rsid w:val="004A1716"/>
    <w:rsid w:val="004A1A5E"/>
    <w:rsid w:val="004A263D"/>
    <w:rsid w:val="004A27A9"/>
    <w:rsid w:val="004A2FA5"/>
    <w:rsid w:val="004A308C"/>
    <w:rsid w:val="004A3145"/>
    <w:rsid w:val="004A33BD"/>
    <w:rsid w:val="004A3482"/>
    <w:rsid w:val="004A39EE"/>
    <w:rsid w:val="004A3A76"/>
    <w:rsid w:val="004A3D19"/>
    <w:rsid w:val="004A3E7D"/>
    <w:rsid w:val="004A3F26"/>
    <w:rsid w:val="004A4024"/>
    <w:rsid w:val="004A40B2"/>
    <w:rsid w:val="004A413A"/>
    <w:rsid w:val="004A447E"/>
    <w:rsid w:val="004A4602"/>
    <w:rsid w:val="004A4B1B"/>
    <w:rsid w:val="004A4E44"/>
    <w:rsid w:val="004A4EE1"/>
    <w:rsid w:val="004A5054"/>
    <w:rsid w:val="004A5942"/>
    <w:rsid w:val="004A5DE1"/>
    <w:rsid w:val="004A6236"/>
    <w:rsid w:val="004A64E6"/>
    <w:rsid w:val="004A6829"/>
    <w:rsid w:val="004A7874"/>
    <w:rsid w:val="004A7B34"/>
    <w:rsid w:val="004A7EF9"/>
    <w:rsid w:val="004B0A7D"/>
    <w:rsid w:val="004B0ABE"/>
    <w:rsid w:val="004B0BC8"/>
    <w:rsid w:val="004B0C00"/>
    <w:rsid w:val="004B120A"/>
    <w:rsid w:val="004B124F"/>
    <w:rsid w:val="004B1509"/>
    <w:rsid w:val="004B159A"/>
    <w:rsid w:val="004B172D"/>
    <w:rsid w:val="004B17E0"/>
    <w:rsid w:val="004B1873"/>
    <w:rsid w:val="004B1FE9"/>
    <w:rsid w:val="004B21B8"/>
    <w:rsid w:val="004B2222"/>
    <w:rsid w:val="004B2369"/>
    <w:rsid w:val="004B244D"/>
    <w:rsid w:val="004B2E51"/>
    <w:rsid w:val="004B35C9"/>
    <w:rsid w:val="004B3B15"/>
    <w:rsid w:val="004B3B23"/>
    <w:rsid w:val="004B4343"/>
    <w:rsid w:val="004B44AB"/>
    <w:rsid w:val="004B4555"/>
    <w:rsid w:val="004B487B"/>
    <w:rsid w:val="004B4916"/>
    <w:rsid w:val="004B4934"/>
    <w:rsid w:val="004B499B"/>
    <w:rsid w:val="004B4A65"/>
    <w:rsid w:val="004B4F9F"/>
    <w:rsid w:val="004B5200"/>
    <w:rsid w:val="004B5627"/>
    <w:rsid w:val="004B5647"/>
    <w:rsid w:val="004B5665"/>
    <w:rsid w:val="004B56CE"/>
    <w:rsid w:val="004B6617"/>
    <w:rsid w:val="004B6A30"/>
    <w:rsid w:val="004B6BA0"/>
    <w:rsid w:val="004B6FFD"/>
    <w:rsid w:val="004B718E"/>
    <w:rsid w:val="004B7345"/>
    <w:rsid w:val="004B7539"/>
    <w:rsid w:val="004B7697"/>
    <w:rsid w:val="004B769C"/>
    <w:rsid w:val="004B7A13"/>
    <w:rsid w:val="004B7A99"/>
    <w:rsid w:val="004B7D2A"/>
    <w:rsid w:val="004B7ED1"/>
    <w:rsid w:val="004B7FF8"/>
    <w:rsid w:val="004C02EA"/>
    <w:rsid w:val="004C0333"/>
    <w:rsid w:val="004C0A23"/>
    <w:rsid w:val="004C0AC0"/>
    <w:rsid w:val="004C10C9"/>
    <w:rsid w:val="004C1716"/>
    <w:rsid w:val="004C1A83"/>
    <w:rsid w:val="004C1BDB"/>
    <w:rsid w:val="004C24F6"/>
    <w:rsid w:val="004C35AA"/>
    <w:rsid w:val="004C3686"/>
    <w:rsid w:val="004C37BA"/>
    <w:rsid w:val="004C39F9"/>
    <w:rsid w:val="004C3CA4"/>
    <w:rsid w:val="004C48F1"/>
    <w:rsid w:val="004C53D9"/>
    <w:rsid w:val="004C5A0F"/>
    <w:rsid w:val="004C5D6F"/>
    <w:rsid w:val="004C5F1C"/>
    <w:rsid w:val="004C62BD"/>
    <w:rsid w:val="004C62F8"/>
    <w:rsid w:val="004C6BBE"/>
    <w:rsid w:val="004C7085"/>
    <w:rsid w:val="004C71C4"/>
    <w:rsid w:val="004C7584"/>
    <w:rsid w:val="004C762B"/>
    <w:rsid w:val="004C76CC"/>
    <w:rsid w:val="004C76E8"/>
    <w:rsid w:val="004C78F0"/>
    <w:rsid w:val="004C7BCE"/>
    <w:rsid w:val="004C7C1C"/>
    <w:rsid w:val="004C7EAE"/>
    <w:rsid w:val="004D000E"/>
    <w:rsid w:val="004D0029"/>
    <w:rsid w:val="004D0071"/>
    <w:rsid w:val="004D016A"/>
    <w:rsid w:val="004D026D"/>
    <w:rsid w:val="004D02FF"/>
    <w:rsid w:val="004D05D0"/>
    <w:rsid w:val="004D06A7"/>
    <w:rsid w:val="004D07D4"/>
    <w:rsid w:val="004D0A9D"/>
    <w:rsid w:val="004D11F6"/>
    <w:rsid w:val="004D1573"/>
    <w:rsid w:val="004D1A1F"/>
    <w:rsid w:val="004D1BB2"/>
    <w:rsid w:val="004D1BCE"/>
    <w:rsid w:val="004D1C55"/>
    <w:rsid w:val="004D1E6B"/>
    <w:rsid w:val="004D2524"/>
    <w:rsid w:val="004D25EE"/>
    <w:rsid w:val="004D2707"/>
    <w:rsid w:val="004D273A"/>
    <w:rsid w:val="004D2981"/>
    <w:rsid w:val="004D299E"/>
    <w:rsid w:val="004D2A04"/>
    <w:rsid w:val="004D2AF8"/>
    <w:rsid w:val="004D2C5A"/>
    <w:rsid w:val="004D2FCA"/>
    <w:rsid w:val="004D334E"/>
    <w:rsid w:val="004D3390"/>
    <w:rsid w:val="004D3D39"/>
    <w:rsid w:val="004D40FB"/>
    <w:rsid w:val="004D430B"/>
    <w:rsid w:val="004D4933"/>
    <w:rsid w:val="004D4966"/>
    <w:rsid w:val="004D4B75"/>
    <w:rsid w:val="004D4C0A"/>
    <w:rsid w:val="004D4FC1"/>
    <w:rsid w:val="004D531C"/>
    <w:rsid w:val="004D53B3"/>
    <w:rsid w:val="004D5C6E"/>
    <w:rsid w:val="004D644B"/>
    <w:rsid w:val="004D6CCB"/>
    <w:rsid w:val="004D7188"/>
    <w:rsid w:val="004D7207"/>
    <w:rsid w:val="004D76F6"/>
    <w:rsid w:val="004D78FE"/>
    <w:rsid w:val="004D799B"/>
    <w:rsid w:val="004D7FD4"/>
    <w:rsid w:val="004E0009"/>
    <w:rsid w:val="004E0103"/>
    <w:rsid w:val="004E1138"/>
    <w:rsid w:val="004E12ED"/>
    <w:rsid w:val="004E133F"/>
    <w:rsid w:val="004E1A40"/>
    <w:rsid w:val="004E1CD3"/>
    <w:rsid w:val="004E1E14"/>
    <w:rsid w:val="004E1FF6"/>
    <w:rsid w:val="004E218C"/>
    <w:rsid w:val="004E2627"/>
    <w:rsid w:val="004E2738"/>
    <w:rsid w:val="004E27A6"/>
    <w:rsid w:val="004E2E09"/>
    <w:rsid w:val="004E33DC"/>
    <w:rsid w:val="004E33FF"/>
    <w:rsid w:val="004E3803"/>
    <w:rsid w:val="004E3A63"/>
    <w:rsid w:val="004E3C38"/>
    <w:rsid w:val="004E3FFD"/>
    <w:rsid w:val="004E4A17"/>
    <w:rsid w:val="004E4D92"/>
    <w:rsid w:val="004E5AE3"/>
    <w:rsid w:val="004E641F"/>
    <w:rsid w:val="004E660D"/>
    <w:rsid w:val="004E69AC"/>
    <w:rsid w:val="004E6A0C"/>
    <w:rsid w:val="004E7137"/>
    <w:rsid w:val="004E763C"/>
    <w:rsid w:val="004E7DFA"/>
    <w:rsid w:val="004F0891"/>
    <w:rsid w:val="004F0B75"/>
    <w:rsid w:val="004F0E12"/>
    <w:rsid w:val="004F16E0"/>
    <w:rsid w:val="004F16E6"/>
    <w:rsid w:val="004F192E"/>
    <w:rsid w:val="004F1B81"/>
    <w:rsid w:val="004F1D68"/>
    <w:rsid w:val="004F1FC9"/>
    <w:rsid w:val="004F2051"/>
    <w:rsid w:val="004F20B3"/>
    <w:rsid w:val="004F22C6"/>
    <w:rsid w:val="004F2449"/>
    <w:rsid w:val="004F2DDD"/>
    <w:rsid w:val="004F33E7"/>
    <w:rsid w:val="004F39E8"/>
    <w:rsid w:val="004F3D59"/>
    <w:rsid w:val="004F3F3E"/>
    <w:rsid w:val="004F4041"/>
    <w:rsid w:val="004F4070"/>
    <w:rsid w:val="004F4DA9"/>
    <w:rsid w:val="004F4F03"/>
    <w:rsid w:val="004F4F84"/>
    <w:rsid w:val="004F5227"/>
    <w:rsid w:val="004F5353"/>
    <w:rsid w:val="004F55E3"/>
    <w:rsid w:val="004F58D7"/>
    <w:rsid w:val="004F5924"/>
    <w:rsid w:val="004F59E7"/>
    <w:rsid w:val="004F5B6B"/>
    <w:rsid w:val="004F5D4B"/>
    <w:rsid w:val="004F5E51"/>
    <w:rsid w:val="004F5EDB"/>
    <w:rsid w:val="004F6263"/>
    <w:rsid w:val="004F6B72"/>
    <w:rsid w:val="004F6E39"/>
    <w:rsid w:val="004F6E4D"/>
    <w:rsid w:val="004F7116"/>
    <w:rsid w:val="004F75E8"/>
    <w:rsid w:val="004F76CB"/>
    <w:rsid w:val="004F7792"/>
    <w:rsid w:val="004F7BB8"/>
    <w:rsid w:val="004F7D4E"/>
    <w:rsid w:val="0050035B"/>
    <w:rsid w:val="00501204"/>
    <w:rsid w:val="005016EA"/>
    <w:rsid w:val="00501A9B"/>
    <w:rsid w:val="00501E47"/>
    <w:rsid w:val="00502684"/>
    <w:rsid w:val="005027E8"/>
    <w:rsid w:val="00502955"/>
    <w:rsid w:val="00502CFB"/>
    <w:rsid w:val="005030E9"/>
    <w:rsid w:val="00503440"/>
    <w:rsid w:val="005034D4"/>
    <w:rsid w:val="00503901"/>
    <w:rsid w:val="00503989"/>
    <w:rsid w:val="005042DD"/>
    <w:rsid w:val="00504372"/>
    <w:rsid w:val="00504491"/>
    <w:rsid w:val="005045A1"/>
    <w:rsid w:val="00504C22"/>
    <w:rsid w:val="00504F8A"/>
    <w:rsid w:val="005056B3"/>
    <w:rsid w:val="00505956"/>
    <w:rsid w:val="00505AC2"/>
    <w:rsid w:val="00505AE5"/>
    <w:rsid w:val="00505B6E"/>
    <w:rsid w:val="00505C18"/>
    <w:rsid w:val="00505C6A"/>
    <w:rsid w:val="00505D67"/>
    <w:rsid w:val="00505DD6"/>
    <w:rsid w:val="00505E30"/>
    <w:rsid w:val="00505E99"/>
    <w:rsid w:val="00506245"/>
    <w:rsid w:val="00506B17"/>
    <w:rsid w:val="00506C57"/>
    <w:rsid w:val="00506D47"/>
    <w:rsid w:val="00506F4E"/>
    <w:rsid w:val="005078E6"/>
    <w:rsid w:val="005101FC"/>
    <w:rsid w:val="00510210"/>
    <w:rsid w:val="00510568"/>
    <w:rsid w:val="00510C61"/>
    <w:rsid w:val="005111DA"/>
    <w:rsid w:val="005118CD"/>
    <w:rsid w:val="00511AD9"/>
    <w:rsid w:val="00511BF1"/>
    <w:rsid w:val="00511DC3"/>
    <w:rsid w:val="00511DFF"/>
    <w:rsid w:val="00511E6F"/>
    <w:rsid w:val="00512003"/>
    <w:rsid w:val="0051202A"/>
    <w:rsid w:val="00512186"/>
    <w:rsid w:val="005126ED"/>
    <w:rsid w:val="00512871"/>
    <w:rsid w:val="00512A4E"/>
    <w:rsid w:val="00512A7F"/>
    <w:rsid w:val="00512B5B"/>
    <w:rsid w:val="00512B63"/>
    <w:rsid w:val="00513392"/>
    <w:rsid w:val="005133FB"/>
    <w:rsid w:val="0051354E"/>
    <w:rsid w:val="005138C7"/>
    <w:rsid w:val="00513A38"/>
    <w:rsid w:val="00513BF6"/>
    <w:rsid w:val="00513CCD"/>
    <w:rsid w:val="00513D7A"/>
    <w:rsid w:val="00513F42"/>
    <w:rsid w:val="00513FDC"/>
    <w:rsid w:val="0051472E"/>
    <w:rsid w:val="005149D5"/>
    <w:rsid w:val="005150D5"/>
    <w:rsid w:val="00515251"/>
    <w:rsid w:val="0051572A"/>
    <w:rsid w:val="00515913"/>
    <w:rsid w:val="005161AC"/>
    <w:rsid w:val="0051686C"/>
    <w:rsid w:val="0051695F"/>
    <w:rsid w:val="00516F2B"/>
    <w:rsid w:val="005171FD"/>
    <w:rsid w:val="00517554"/>
    <w:rsid w:val="005175C6"/>
    <w:rsid w:val="005177C5"/>
    <w:rsid w:val="00517C80"/>
    <w:rsid w:val="00517F33"/>
    <w:rsid w:val="00517FA8"/>
    <w:rsid w:val="00520000"/>
    <w:rsid w:val="0052015B"/>
    <w:rsid w:val="005201DE"/>
    <w:rsid w:val="00520222"/>
    <w:rsid w:val="005204B9"/>
    <w:rsid w:val="00520890"/>
    <w:rsid w:val="00520AD2"/>
    <w:rsid w:val="00521288"/>
    <w:rsid w:val="0052145D"/>
    <w:rsid w:val="0052225B"/>
    <w:rsid w:val="00522435"/>
    <w:rsid w:val="005229E6"/>
    <w:rsid w:val="00522BDB"/>
    <w:rsid w:val="00522C17"/>
    <w:rsid w:val="00523032"/>
    <w:rsid w:val="00523083"/>
    <w:rsid w:val="005234A1"/>
    <w:rsid w:val="00523511"/>
    <w:rsid w:val="00523944"/>
    <w:rsid w:val="00523A8B"/>
    <w:rsid w:val="00523D7D"/>
    <w:rsid w:val="005241CE"/>
    <w:rsid w:val="00524663"/>
    <w:rsid w:val="00525396"/>
    <w:rsid w:val="00525572"/>
    <w:rsid w:val="00525CB8"/>
    <w:rsid w:val="00525D79"/>
    <w:rsid w:val="00525FB5"/>
    <w:rsid w:val="00525FF2"/>
    <w:rsid w:val="00526269"/>
    <w:rsid w:val="0052675C"/>
    <w:rsid w:val="00526B3A"/>
    <w:rsid w:val="00526C1E"/>
    <w:rsid w:val="005273B0"/>
    <w:rsid w:val="00527866"/>
    <w:rsid w:val="005278F6"/>
    <w:rsid w:val="00527D48"/>
    <w:rsid w:val="005300A6"/>
    <w:rsid w:val="00530C07"/>
    <w:rsid w:val="00530F10"/>
    <w:rsid w:val="00531705"/>
    <w:rsid w:val="00531B22"/>
    <w:rsid w:val="00531BB6"/>
    <w:rsid w:val="00531CBF"/>
    <w:rsid w:val="00531D7C"/>
    <w:rsid w:val="00531DA3"/>
    <w:rsid w:val="00531E70"/>
    <w:rsid w:val="0053210E"/>
    <w:rsid w:val="00532131"/>
    <w:rsid w:val="00532222"/>
    <w:rsid w:val="00532236"/>
    <w:rsid w:val="00532301"/>
    <w:rsid w:val="00532D01"/>
    <w:rsid w:val="005331A2"/>
    <w:rsid w:val="005336AA"/>
    <w:rsid w:val="00533A6A"/>
    <w:rsid w:val="00533EBF"/>
    <w:rsid w:val="00533FC9"/>
    <w:rsid w:val="00534712"/>
    <w:rsid w:val="0053496B"/>
    <w:rsid w:val="00534A33"/>
    <w:rsid w:val="005354F3"/>
    <w:rsid w:val="00535569"/>
    <w:rsid w:val="00535A55"/>
    <w:rsid w:val="00535A9E"/>
    <w:rsid w:val="00535CA1"/>
    <w:rsid w:val="00536517"/>
    <w:rsid w:val="0053688D"/>
    <w:rsid w:val="00536918"/>
    <w:rsid w:val="00536BD2"/>
    <w:rsid w:val="00536EBB"/>
    <w:rsid w:val="005379C5"/>
    <w:rsid w:val="005379EE"/>
    <w:rsid w:val="00537BA8"/>
    <w:rsid w:val="00537D43"/>
    <w:rsid w:val="00540362"/>
    <w:rsid w:val="00540C2E"/>
    <w:rsid w:val="00541C35"/>
    <w:rsid w:val="00541F87"/>
    <w:rsid w:val="00541FD9"/>
    <w:rsid w:val="00542262"/>
    <w:rsid w:val="0054277C"/>
    <w:rsid w:val="00542FA6"/>
    <w:rsid w:val="00542FE0"/>
    <w:rsid w:val="005432CA"/>
    <w:rsid w:val="005436F2"/>
    <w:rsid w:val="00543A8F"/>
    <w:rsid w:val="00543C00"/>
    <w:rsid w:val="00543C2E"/>
    <w:rsid w:val="00543C65"/>
    <w:rsid w:val="00543F1F"/>
    <w:rsid w:val="00543F94"/>
    <w:rsid w:val="0054486B"/>
    <w:rsid w:val="00544878"/>
    <w:rsid w:val="00544973"/>
    <w:rsid w:val="00544CF7"/>
    <w:rsid w:val="00544DAD"/>
    <w:rsid w:val="00544E75"/>
    <w:rsid w:val="005450BF"/>
    <w:rsid w:val="00545264"/>
    <w:rsid w:val="0054588D"/>
    <w:rsid w:val="00545C2E"/>
    <w:rsid w:val="00546188"/>
    <w:rsid w:val="0054688D"/>
    <w:rsid w:val="00546A52"/>
    <w:rsid w:val="00546E42"/>
    <w:rsid w:val="00547232"/>
    <w:rsid w:val="00547C24"/>
    <w:rsid w:val="00547E51"/>
    <w:rsid w:val="00547F10"/>
    <w:rsid w:val="00550330"/>
    <w:rsid w:val="00550418"/>
    <w:rsid w:val="00550BCC"/>
    <w:rsid w:val="00551652"/>
    <w:rsid w:val="00551B5D"/>
    <w:rsid w:val="00551B86"/>
    <w:rsid w:val="00551DB2"/>
    <w:rsid w:val="00552842"/>
    <w:rsid w:val="0055301E"/>
    <w:rsid w:val="0055319A"/>
    <w:rsid w:val="005537AC"/>
    <w:rsid w:val="005538A6"/>
    <w:rsid w:val="00553B56"/>
    <w:rsid w:val="00553D86"/>
    <w:rsid w:val="005541AD"/>
    <w:rsid w:val="00554285"/>
    <w:rsid w:val="00554456"/>
    <w:rsid w:val="005546B3"/>
    <w:rsid w:val="00554705"/>
    <w:rsid w:val="00554B9D"/>
    <w:rsid w:val="00554EA4"/>
    <w:rsid w:val="005555B7"/>
    <w:rsid w:val="005558AC"/>
    <w:rsid w:val="00555E77"/>
    <w:rsid w:val="00555FB0"/>
    <w:rsid w:val="0055608D"/>
    <w:rsid w:val="00556109"/>
    <w:rsid w:val="00556C08"/>
    <w:rsid w:val="00556D30"/>
    <w:rsid w:val="00556DD6"/>
    <w:rsid w:val="00557182"/>
    <w:rsid w:val="0055751C"/>
    <w:rsid w:val="0055757D"/>
    <w:rsid w:val="0055779F"/>
    <w:rsid w:val="00557937"/>
    <w:rsid w:val="0056006F"/>
    <w:rsid w:val="005601A3"/>
    <w:rsid w:val="005602A5"/>
    <w:rsid w:val="0056061A"/>
    <w:rsid w:val="00560DD4"/>
    <w:rsid w:val="00560F78"/>
    <w:rsid w:val="005611F3"/>
    <w:rsid w:val="00561821"/>
    <w:rsid w:val="00562019"/>
    <w:rsid w:val="0056231C"/>
    <w:rsid w:val="00562F65"/>
    <w:rsid w:val="00563207"/>
    <w:rsid w:val="0056363E"/>
    <w:rsid w:val="00563930"/>
    <w:rsid w:val="00563A6C"/>
    <w:rsid w:val="00564947"/>
    <w:rsid w:val="00564C96"/>
    <w:rsid w:val="00564EF1"/>
    <w:rsid w:val="0056523E"/>
    <w:rsid w:val="005656EF"/>
    <w:rsid w:val="005658E1"/>
    <w:rsid w:val="00565A72"/>
    <w:rsid w:val="00565D23"/>
    <w:rsid w:val="00566262"/>
    <w:rsid w:val="0056637B"/>
    <w:rsid w:val="00567461"/>
    <w:rsid w:val="0056762B"/>
    <w:rsid w:val="00567669"/>
    <w:rsid w:val="00567766"/>
    <w:rsid w:val="005677BF"/>
    <w:rsid w:val="00567A61"/>
    <w:rsid w:val="00570551"/>
    <w:rsid w:val="00570DC4"/>
    <w:rsid w:val="005711A0"/>
    <w:rsid w:val="005713E8"/>
    <w:rsid w:val="00571743"/>
    <w:rsid w:val="00571C70"/>
    <w:rsid w:val="00571F84"/>
    <w:rsid w:val="005721E6"/>
    <w:rsid w:val="00572358"/>
    <w:rsid w:val="00572442"/>
    <w:rsid w:val="00572CCD"/>
    <w:rsid w:val="00572E9D"/>
    <w:rsid w:val="00572EBC"/>
    <w:rsid w:val="00573176"/>
    <w:rsid w:val="0057319E"/>
    <w:rsid w:val="0057363A"/>
    <w:rsid w:val="0057363C"/>
    <w:rsid w:val="00573DDB"/>
    <w:rsid w:val="00574103"/>
    <w:rsid w:val="00574292"/>
    <w:rsid w:val="00574466"/>
    <w:rsid w:val="005744B6"/>
    <w:rsid w:val="00574704"/>
    <w:rsid w:val="00574A50"/>
    <w:rsid w:val="00574ABC"/>
    <w:rsid w:val="00574D8E"/>
    <w:rsid w:val="0057532A"/>
    <w:rsid w:val="0057548B"/>
    <w:rsid w:val="005759FD"/>
    <w:rsid w:val="0057697B"/>
    <w:rsid w:val="00576BA5"/>
    <w:rsid w:val="00576D45"/>
    <w:rsid w:val="00576E72"/>
    <w:rsid w:val="00576FF3"/>
    <w:rsid w:val="0057705B"/>
    <w:rsid w:val="00577087"/>
    <w:rsid w:val="00577266"/>
    <w:rsid w:val="00577889"/>
    <w:rsid w:val="00577948"/>
    <w:rsid w:val="00577A44"/>
    <w:rsid w:val="00577E4B"/>
    <w:rsid w:val="005809A1"/>
    <w:rsid w:val="00580ADE"/>
    <w:rsid w:val="00580F7D"/>
    <w:rsid w:val="00581199"/>
    <w:rsid w:val="00581797"/>
    <w:rsid w:val="0058186E"/>
    <w:rsid w:val="00581B06"/>
    <w:rsid w:val="00581EB0"/>
    <w:rsid w:val="00582042"/>
    <w:rsid w:val="0058255C"/>
    <w:rsid w:val="00582667"/>
    <w:rsid w:val="00582800"/>
    <w:rsid w:val="005829B6"/>
    <w:rsid w:val="005830BF"/>
    <w:rsid w:val="00583501"/>
    <w:rsid w:val="0058392F"/>
    <w:rsid w:val="00583AA9"/>
    <w:rsid w:val="00583EB3"/>
    <w:rsid w:val="00584313"/>
    <w:rsid w:val="0058432C"/>
    <w:rsid w:val="0058472B"/>
    <w:rsid w:val="00584898"/>
    <w:rsid w:val="00584D96"/>
    <w:rsid w:val="00585650"/>
    <w:rsid w:val="00585652"/>
    <w:rsid w:val="005856F6"/>
    <w:rsid w:val="00585D48"/>
    <w:rsid w:val="005862BD"/>
    <w:rsid w:val="00586A0D"/>
    <w:rsid w:val="00586BF2"/>
    <w:rsid w:val="00586C19"/>
    <w:rsid w:val="00586EBA"/>
    <w:rsid w:val="005870C1"/>
    <w:rsid w:val="005876A1"/>
    <w:rsid w:val="00587C4B"/>
    <w:rsid w:val="00587DF6"/>
    <w:rsid w:val="00587E51"/>
    <w:rsid w:val="00590466"/>
    <w:rsid w:val="00590801"/>
    <w:rsid w:val="00590DCB"/>
    <w:rsid w:val="00591309"/>
    <w:rsid w:val="005918DF"/>
    <w:rsid w:val="00591AB0"/>
    <w:rsid w:val="005922F6"/>
    <w:rsid w:val="005925FD"/>
    <w:rsid w:val="00592FAF"/>
    <w:rsid w:val="00593687"/>
    <w:rsid w:val="00593866"/>
    <w:rsid w:val="005938D4"/>
    <w:rsid w:val="00594038"/>
    <w:rsid w:val="0059432F"/>
    <w:rsid w:val="0059456C"/>
    <w:rsid w:val="0059459F"/>
    <w:rsid w:val="005946CA"/>
    <w:rsid w:val="00594CCC"/>
    <w:rsid w:val="00594FD6"/>
    <w:rsid w:val="005955DB"/>
    <w:rsid w:val="00595681"/>
    <w:rsid w:val="00595C8A"/>
    <w:rsid w:val="00595D17"/>
    <w:rsid w:val="0059623D"/>
    <w:rsid w:val="005962EB"/>
    <w:rsid w:val="0059651E"/>
    <w:rsid w:val="00596785"/>
    <w:rsid w:val="00596793"/>
    <w:rsid w:val="005967CD"/>
    <w:rsid w:val="00596DFC"/>
    <w:rsid w:val="00596F6B"/>
    <w:rsid w:val="00597187"/>
    <w:rsid w:val="005972C2"/>
    <w:rsid w:val="005972F1"/>
    <w:rsid w:val="0059745F"/>
    <w:rsid w:val="005979AD"/>
    <w:rsid w:val="00597ADA"/>
    <w:rsid w:val="00597BAE"/>
    <w:rsid w:val="00597D21"/>
    <w:rsid w:val="00597D8E"/>
    <w:rsid w:val="005A0555"/>
    <w:rsid w:val="005A0901"/>
    <w:rsid w:val="005A10E7"/>
    <w:rsid w:val="005A14BB"/>
    <w:rsid w:val="005A16B3"/>
    <w:rsid w:val="005A17FC"/>
    <w:rsid w:val="005A196D"/>
    <w:rsid w:val="005A1D8C"/>
    <w:rsid w:val="005A1DE3"/>
    <w:rsid w:val="005A2481"/>
    <w:rsid w:val="005A24FD"/>
    <w:rsid w:val="005A26F7"/>
    <w:rsid w:val="005A2C83"/>
    <w:rsid w:val="005A2EA2"/>
    <w:rsid w:val="005A2F27"/>
    <w:rsid w:val="005A3519"/>
    <w:rsid w:val="005A3553"/>
    <w:rsid w:val="005A3710"/>
    <w:rsid w:val="005A3A24"/>
    <w:rsid w:val="005A4A94"/>
    <w:rsid w:val="005A4E69"/>
    <w:rsid w:val="005A518C"/>
    <w:rsid w:val="005A559A"/>
    <w:rsid w:val="005A5724"/>
    <w:rsid w:val="005A603D"/>
    <w:rsid w:val="005A613E"/>
    <w:rsid w:val="005A6175"/>
    <w:rsid w:val="005A61B7"/>
    <w:rsid w:val="005A62A2"/>
    <w:rsid w:val="005A6761"/>
    <w:rsid w:val="005A6B99"/>
    <w:rsid w:val="005A6E5D"/>
    <w:rsid w:val="005A70E6"/>
    <w:rsid w:val="005A72C7"/>
    <w:rsid w:val="005A72FC"/>
    <w:rsid w:val="005A74BE"/>
    <w:rsid w:val="005A76D5"/>
    <w:rsid w:val="005A7B7B"/>
    <w:rsid w:val="005A7E06"/>
    <w:rsid w:val="005B0351"/>
    <w:rsid w:val="005B04BC"/>
    <w:rsid w:val="005B061D"/>
    <w:rsid w:val="005B0F2D"/>
    <w:rsid w:val="005B1108"/>
    <w:rsid w:val="005B1536"/>
    <w:rsid w:val="005B1F09"/>
    <w:rsid w:val="005B223C"/>
    <w:rsid w:val="005B274C"/>
    <w:rsid w:val="005B28E6"/>
    <w:rsid w:val="005B2984"/>
    <w:rsid w:val="005B29A6"/>
    <w:rsid w:val="005B2B60"/>
    <w:rsid w:val="005B2ED3"/>
    <w:rsid w:val="005B31F6"/>
    <w:rsid w:val="005B33BE"/>
    <w:rsid w:val="005B3559"/>
    <w:rsid w:val="005B3AEB"/>
    <w:rsid w:val="005B4620"/>
    <w:rsid w:val="005B468C"/>
    <w:rsid w:val="005B487D"/>
    <w:rsid w:val="005B4B18"/>
    <w:rsid w:val="005B53EF"/>
    <w:rsid w:val="005B57D6"/>
    <w:rsid w:val="005B5E15"/>
    <w:rsid w:val="005B60BC"/>
    <w:rsid w:val="005B62AA"/>
    <w:rsid w:val="005B65F1"/>
    <w:rsid w:val="005B66A7"/>
    <w:rsid w:val="005B6AE4"/>
    <w:rsid w:val="005B6C8B"/>
    <w:rsid w:val="005B6FCB"/>
    <w:rsid w:val="005B7357"/>
    <w:rsid w:val="005B78AF"/>
    <w:rsid w:val="005B79CD"/>
    <w:rsid w:val="005B7ED5"/>
    <w:rsid w:val="005B7F7A"/>
    <w:rsid w:val="005B7FE9"/>
    <w:rsid w:val="005C0571"/>
    <w:rsid w:val="005C05DF"/>
    <w:rsid w:val="005C0787"/>
    <w:rsid w:val="005C07FD"/>
    <w:rsid w:val="005C0876"/>
    <w:rsid w:val="005C09EF"/>
    <w:rsid w:val="005C0D27"/>
    <w:rsid w:val="005C10D1"/>
    <w:rsid w:val="005C13B5"/>
    <w:rsid w:val="005C1446"/>
    <w:rsid w:val="005C1C74"/>
    <w:rsid w:val="005C222B"/>
    <w:rsid w:val="005C26A6"/>
    <w:rsid w:val="005C2811"/>
    <w:rsid w:val="005C28A9"/>
    <w:rsid w:val="005C2C68"/>
    <w:rsid w:val="005C2DA9"/>
    <w:rsid w:val="005C2F92"/>
    <w:rsid w:val="005C3097"/>
    <w:rsid w:val="005C312D"/>
    <w:rsid w:val="005C3183"/>
    <w:rsid w:val="005C3638"/>
    <w:rsid w:val="005C38CC"/>
    <w:rsid w:val="005C39C5"/>
    <w:rsid w:val="005C3ADC"/>
    <w:rsid w:val="005C3F31"/>
    <w:rsid w:val="005C4562"/>
    <w:rsid w:val="005C4885"/>
    <w:rsid w:val="005C4932"/>
    <w:rsid w:val="005C4F4D"/>
    <w:rsid w:val="005C56F5"/>
    <w:rsid w:val="005C5833"/>
    <w:rsid w:val="005C5AE1"/>
    <w:rsid w:val="005C5BEE"/>
    <w:rsid w:val="005C66F0"/>
    <w:rsid w:val="005C679E"/>
    <w:rsid w:val="005C6C43"/>
    <w:rsid w:val="005C6CA8"/>
    <w:rsid w:val="005C6CBF"/>
    <w:rsid w:val="005C6E20"/>
    <w:rsid w:val="005C7015"/>
    <w:rsid w:val="005C7295"/>
    <w:rsid w:val="005C73A3"/>
    <w:rsid w:val="005C7754"/>
    <w:rsid w:val="005C7F8D"/>
    <w:rsid w:val="005D00E8"/>
    <w:rsid w:val="005D00EE"/>
    <w:rsid w:val="005D035A"/>
    <w:rsid w:val="005D1585"/>
    <w:rsid w:val="005D15F5"/>
    <w:rsid w:val="005D212E"/>
    <w:rsid w:val="005D22D4"/>
    <w:rsid w:val="005D26CA"/>
    <w:rsid w:val="005D291B"/>
    <w:rsid w:val="005D2B36"/>
    <w:rsid w:val="005D2D8B"/>
    <w:rsid w:val="005D2F39"/>
    <w:rsid w:val="005D385C"/>
    <w:rsid w:val="005D3A7F"/>
    <w:rsid w:val="005D3BF2"/>
    <w:rsid w:val="005D3D7D"/>
    <w:rsid w:val="005D410B"/>
    <w:rsid w:val="005D4239"/>
    <w:rsid w:val="005D448C"/>
    <w:rsid w:val="005D4645"/>
    <w:rsid w:val="005D4884"/>
    <w:rsid w:val="005D49FB"/>
    <w:rsid w:val="005D4D74"/>
    <w:rsid w:val="005D5206"/>
    <w:rsid w:val="005D544F"/>
    <w:rsid w:val="005D5780"/>
    <w:rsid w:val="005D5BB3"/>
    <w:rsid w:val="005D5E2C"/>
    <w:rsid w:val="005D5F28"/>
    <w:rsid w:val="005D62DA"/>
    <w:rsid w:val="005D66DC"/>
    <w:rsid w:val="005D69DF"/>
    <w:rsid w:val="005D6AA8"/>
    <w:rsid w:val="005D6B31"/>
    <w:rsid w:val="005D765B"/>
    <w:rsid w:val="005D7709"/>
    <w:rsid w:val="005D7771"/>
    <w:rsid w:val="005D7836"/>
    <w:rsid w:val="005D78EB"/>
    <w:rsid w:val="005D7A89"/>
    <w:rsid w:val="005D7B14"/>
    <w:rsid w:val="005D7CE5"/>
    <w:rsid w:val="005D7DF4"/>
    <w:rsid w:val="005E04D6"/>
    <w:rsid w:val="005E0D52"/>
    <w:rsid w:val="005E0E25"/>
    <w:rsid w:val="005E12F0"/>
    <w:rsid w:val="005E13FB"/>
    <w:rsid w:val="005E15EA"/>
    <w:rsid w:val="005E199F"/>
    <w:rsid w:val="005E1A3A"/>
    <w:rsid w:val="005E1EB2"/>
    <w:rsid w:val="005E24DB"/>
    <w:rsid w:val="005E2B53"/>
    <w:rsid w:val="005E2C18"/>
    <w:rsid w:val="005E2F8D"/>
    <w:rsid w:val="005E31B2"/>
    <w:rsid w:val="005E3B93"/>
    <w:rsid w:val="005E3CC2"/>
    <w:rsid w:val="005E3E6C"/>
    <w:rsid w:val="005E4319"/>
    <w:rsid w:val="005E4428"/>
    <w:rsid w:val="005E44C3"/>
    <w:rsid w:val="005E4CA1"/>
    <w:rsid w:val="005E4EC7"/>
    <w:rsid w:val="005E5086"/>
    <w:rsid w:val="005E54A7"/>
    <w:rsid w:val="005E5545"/>
    <w:rsid w:val="005E5597"/>
    <w:rsid w:val="005E5602"/>
    <w:rsid w:val="005E5CBC"/>
    <w:rsid w:val="005E5D85"/>
    <w:rsid w:val="005E61BF"/>
    <w:rsid w:val="005E6484"/>
    <w:rsid w:val="005E67EB"/>
    <w:rsid w:val="005E6B24"/>
    <w:rsid w:val="005E6D25"/>
    <w:rsid w:val="005E6EF0"/>
    <w:rsid w:val="005E7113"/>
    <w:rsid w:val="005E7497"/>
    <w:rsid w:val="005E7746"/>
    <w:rsid w:val="005F05BC"/>
    <w:rsid w:val="005F06D0"/>
    <w:rsid w:val="005F0C10"/>
    <w:rsid w:val="005F10F2"/>
    <w:rsid w:val="005F1F34"/>
    <w:rsid w:val="005F28CA"/>
    <w:rsid w:val="005F306A"/>
    <w:rsid w:val="005F3202"/>
    <w:rsid w:val="005F329A"/>
    <w:rsid w:val="005F39EE"/>
    <w:rsid w:val="005F4502"/>
    <w:rsid w:val="005F45F2"/>
    <w:rsid w:val="005F4A48"/>
    <w:rsid w:val="005F5C37"/>
    <w:rsid w:val="005F5D71"/>
    <w:rsid w:val="005F6798"/>
    <w:rsid w:val="005F68C6"/>
    <w:rsid w:val="005F699A"/>
    <w:rsid w:val="005F6C5D"/>
    <w:rsid w:val="005F6DD1"/>
    <w:rsid w:val="005F700B"/>
    <w:rsid w:val="005F711E"/>
    <w:rsid w:val="005F738B"/>
    <w:rsid w:val="005F791A"/>
    <w:rsid w:val="005F7BC7"/>
    <w:rsid w:val="005F7FC7"/>
    <w:rsid w:val="006001EE"/>
    <w:rsid w:val="00600CDB"/>
    <w:rsid w:val="00600D78"/>
    <w:rsid w:val="00600ED8"/>
    <w:rsid w:val="006011D8"/>
    <w:rsid w:val="006014DF"/>
    <w:rsid w:val="00601622"/>
    <w:rsid w:val="00601907"/>
    <w:rsid w:val="00601BD7"/>
    <w:rsid w:val="00601C12"/>
    <w:rsid w:val="00601C97"/>
    <w:rsid w:val="00602191"/>
    <w:rsid w:val="006025BC"/>
    <w:rsid w:val="006026B6"/>
    <w:rsid w:val="006028C2"/>
    <w:rsid w:val="00602926"/>
    <w:rsid w:val="00602FF0"/>
    <w:rsid w:val="006031AC"/>
    <w:rsid w:val="0060326F"/>
    <w:rsid w:val="00603744"/>
    <w:rsid w:val="006037D3"/>
    <w:rsid w:val="00604C90"/>
    <w:rsid w:val="00604CC5"/>
    <w:rsid w:val="0060589A"/>
    <w:rsid w:val="00605A37"/>
    <w:rsid w:val="00605E5C"/>
    <w:rsid w:val="00606315"/>
    <w:rsid w:val="0060663B"/>
    <w:rsid w:val="00606800"/>
    <w:rsid w:val="00607117"/>
    <w:rsid w:val="00607176"/>
    <w:rsid w:val="00607C23"/>
    <w:rsid w:val="00610743"/>
    <w:rsid w:val="00610AA7"/>
    <w:rsid w:val="00610C10"/>
    <w:rsid w:val="00610ECB"/>
    <w:rsid w:val="006112AD"/>
    <w:rsid w:val="006115C1"/>
    <w:rsid w:val="00611669"/>
    <w:rsid w:val="00611C20"/>
    <w:rsid w:val="00611E0F"/>
    <w:rsid w:val="00612058"/>
    <w:rsid w:val="006125CA"/>
    <w:rsid w:val="006131DA"/>
    <w:rsid w:val="00613396"/>
    <w:rsid w:val="006137CE"/>
    <w:rsid w:val="00613856"/>
    <w:rsid w:val="00614071"/>
    <w:rsid w:val="00614364"/>
    <w:rsid w:val="00614DC4"/>
    <w:rsid w:val="00614E4C"/>
    <w:rsid w:val="00614E7B"/>
    <w:rsid w:val="006158D9"/>
    <w:rsid w:val="00615960"/>
    <w:rsid w:val="00615C50"/>
    <w:rsid w:val="00616168"/>
    <w:rsid w:val="00616196"/>
    <w:rsid w:val="00616430"/>
    <w:rsid w:val="00616466"/>
    <w:rsid w:val="0061740B"/>
    <w:rsid w:val="006174F8"/>
    <w:rsid w:val="0062007D"/>
    <w:rsid w:val="0062060F"/>
    <w:rsid w:val="00620843"/>
    <w:rsid w:val="00620F07"/>
    <w:rsid w:val="00621024"/>
    <w:rsid w:val="0062112F"/>
    <w:rsid w:val="006212AD"/>
    <w:rsid w:val="0062194C"/>
    <w:rsid w:val="006219CF"/>
    <w:rsid w:val="00621C8D"/>
    <w:rsid w:val="006220E9"/>
    <w:rsid w:val="006223D7"/>
    <w:rsid w:val="006224A3"/>
    <w:rsid w:val="0062255D"/>
    <w:rsid w:val="006227A2"/>
    <w:rsid w:val="006227DA"/>
    <w:rsid w:val="00622C57"/>
    <w:rsid w:val="00622CA1"/>
    <w:rsid w:val="00622E8A"/>
    <w:rsid w:val="00623644"/>
    <w:rsid w:val="006236B2"/>
    <w:rsid w:val="00623BED"/>
    <w:rsid w:val="00623C3F"/>
    <w:rsid w:val="0062419A"/>
    <w:rsid w:val="006242ED"/>
    <w:rsid w:val="00624694"/>
    <w:rsid w:val="00624879"/>
    <w:rsid w:val="00624B10"/>
    <w:rsid w:val="00624F6C"/>
    <w:rsid w:val="006259CB"/>
    <w:rsid w:val="00625D46"/>
    <w:rsid w:val="00625F02"/>
    <w:rsid w:val="0062629E"/>
    <w:rsid w:val="00626663"/>
    <w:rsid w:val="00626C43"/>
    <w:rsid w:val="00627158"/>
    <w:rsid w:val="006272A2"/>
    <w:rsid w:val="00627D41"/>
    <w:rsid w:val="00627DF7"/>
    <w:rsid w:val="00627E5B"/>
    <w:rsid w:val="00627E72"/>
    <w:rsid w:val="00627FE4"/>
    <w:rsid w:val="00630776"/>
    <w:rsid w:val="00630DC6"/>
    <w:rsid w:val="006312E2"/>
    <w:rsid w:val="00631378"/>
    <w:rsid w:val="006313D8"/>
    <w:rsid w:val="006314B9"/>
    <w:rsid w:val="00631810"/>
    <w:rsid w:val="006318F9"/>
    <w:rsid w:val="00631B38"/>
    <w:rsid w:val="00631F84"/>
    <w:rsid w:val="0063213E"/>
    <w:rsid w:val="00632330"/>
    <w:rsid w:val="006323B2"/>
    <w:rsid w:val="0063275C"/>
    <w:rsid w:val="006327CC"/>
    <w:rsid w:val="00632891"/>
    <w:rsid w:val="00632A09"/>
    <w:rsid w:val="00632FA4"/>
    <w:rsid w:val="006334F6"/>
    <w:rsid w:val="00633810"/>
    <w:rsid w:val="00633814"/>
    <w:rsid w:val="00633C69"/>
    <w:rsid w:val="00633D13"/>
    <w:rsid w:val="00633D93"/>
    <w:rsid w:val="00633E00"/>
    <w:rsid w:val="00634282"/>
    <w:rsid w:val="0063431A"/>
    <w:rsid w:val="006344BF"/>
    <w:rsid w:val="0063493A"/>
    <w:rsid w:val="00634E14"/>
    <w:rsid w:val="00635A64"/>
    <w:rsid w:val="00635E61"/>
    <w:rsid w:val="00636B07"/>
    <w:rsid w:val="00636E09"/>
    <w:rsid w:val="00636F93"/>
    <w:rsid w:val="00637162"/>
    <w:rsid w:val="00637418"/>
    <w:rsid w:val="0063752F"/>
    <w:rsid w:val="00637740"/>
    <w:rsid w:val="00637889"/>
    <w:rsid w:val="00637933"/>
    <w:rsid w:val="00637E82"/>
    <w:rsid w:val="006401E7"/>
    <w:rsid w:val="00640444"/>
    <w:rsid w:val="006406EA"/>
    <w:rsid w:val="00640964"/>
    <w:rsid w:val="00640F16"/>
    <w:rsid w:val="00641035"/>
    <w:rsid w:val="006411B8"/>
    <w:rsid w:val="00641440"/>
    <w:rsid w:val="006416B8"/>
    <w:rsid w:val="006419ED"/>
    <w:rsid w:val="00641E1F"/>
    <w:rsid w:val="00642001"/>
    <w:rsid w:val="0064288D"/>
    <w:rsid w:val="00642AB9"/>
    <w:rsid w:val="00642E85"/>
    <w:rsid w:val="00642FB5"/>
    <w:rsid w:val="00643349"/>
    <w:rsid w:val="0064390B"/>
    <w:rsid w:val="00643BF3"/>
    <w:rsid w:val="00643C23"/>
    <w:rsid w:val="00644254"/>
    <w:rsid w:val="006443EF"/>
    <w:rsid w:val="00644DC2"/>
    <w:rsid w:val="0064556F"/>
    <w:rsid w:val="00645679"/>
    <w:rsid w:val="006457CD"/>
    <w:rsid w:val="006457DD"/>
    <w:rsid w:val="006457F3"/>
    <w:rsid w:val="00645E0F"/>
    <w:rsid w:val="00645F0E"/>
    <w:rsid w:val="00646314"/>
    <w:rsid w:val="006466AF"/>
    <w:rsid w:val="00646707"/>
    <w:rsid w:val="0064672D"/>
    <w:rsid w:val="006468D0"/>
    <w:rsid w:val="00646948"/>
    <w:rsid w:val="00646BFD"/>
    <w:rsid w:val="00646CEE"/>
    <w:rsid w:val="00646E1E"/>
    <w:rsid w:val="00646ED9"/>
    <w:rsid w:val="00646F71"/>
    <w:rsid w:val="006474E4"/>
    <w:rsid w:val="00647573"/>
    <w:rsid w:val="00647782"/>
    <w:rsid w:val="006479D2"/>
    <w:rsid w:val="00647A71"/>
    <w:rsid w:val="00647B10"/>
    <w:rsid w:val="00650288"/>
    <w:rsid w:val="0065033C"/>
    <w:rsid w:val="0065048C"/>
    <w:rsid w:val="00650E34"/>
    <w:rsid w:val="0065130D"/>
    <w:rsid w:val="00651604"/>
    <w:rsid w:val="00651C00"/>
    <w:rsid w:val="00651CF0"/>
    <w:rsid w:val="00651D38"/>
    <w:rsid w:val="00651E13"/>
    <w:rsid w:val="00651E1E"/>
    <w:rsid w:val="00652599"/>
    <w:rsid w:val="006528B8"/>
    <w:rsid w:val="006529C3"/>
    <w:rsid w:val="0065335F"/>
    <w:rsid w:val="00653CB1"/>
    <w:rsid w:val="0065404D"/>
    <w:rsid w:val="006544C5"/>
    <w:rsid w:val="006547F7"/>
    <w:rsid w:val="00654982"/>
    <w:rsid w:val="00654D03"/>
    <w:rsid w:val="00654FC8"/>
    <w:rsid w:val="006555B9"/>
    <w:rsid w:val="006559F2"/>
    <w:rsid w:val="00655B32"/>
    <w:rsid w:val="00655D3D"/>
    <w:rsid w:val="00655FAA"/>
    <w:rsid w:val="00656064"/>
    <w:rsid w:val="00656953"/>
    <w:rsid w:val="00656963"/>
    <w:rsid w:val="00656F1B"/>
    <w:rsid w:val="006570C4"/>
    <w:rsid w:val="0065730F"/>
    <w:rsid w:val="00657475"/>
    <w:rsid w:val="006576EA"/>
    <w:rsid w:val="00657B81"/>
    <w:rsid w:val="00657EE5"/>
    <w:rsid w:val="006600A3"/>
    <w:rsid w:val="006600D6"/>
    <w:rsid w:val="0066027F"/>
    <w:rsid w:val="00660329"/>
    <w:rsid w:val="00660B31"/>
    <w:rsid w:val="00660CD5"/>
    <w:rsid w:val="00660D2D"/>
    <w:rsid w:val="0066158F"/>
    <w:rsid w:val="0066181F"/>
    <w:rsid w:val="0066189C"/>
    <w:rsid w:val="00661949"/>
    <w:rsid w:val="00661AA2"/>
    <w:rsid w:val="00661BC5"/>
    <w:rsid w:val="0066210C"/>
    <w:rsid w:val="00662283"/>
    <w:rsid w:val="00662635"/>
    <w:rsid w:val="006626D1"/>
    <w:rsid w:val="006627FE"/>
    <w:rsid w:val="00662BCB"/>
    <w:rsid w:val="00662C1B"/>
    <w:rsid w:val="006633FB"/>
    <w:rsid w:val="006636CE"/>
    <w:rsid w:val="00663771"/>
    <w:rsid w:val="00663811"/>
    <w:rsid w:val="00663A12"/>
    <w:rsid w:val="00663AC5"/>
    <w:rsid w:val="00663DDC"/>
    <w:rsid w:val="00663F4F"/>
    <w:rsid w:val="0066458D"/>
    <w:rsid w:val="00664E22"/>
    <w:rsid w:val="00665325"/>
    <w:rsid w:val="00665482"/>
    <w:rsid w:val="00665AE7"/>
    <w:rsid w:val="00666081"/>
    <w:rsid w:val="006663EB"/>
    <w:rsid w:val="006667D2"/>
    <w:rsid w:val="00666DDB"/>
    <w:rsid w:val="00666E65"/>
    <w:rsid w:val="00667176"/>
    <w:rsid w:val="00667492"/>
    <w:rsid w:val="00667EFC"/>
    <w:rsid w:val="00667F1E"/>
    <w:rsid w:val="00670193"/>
    <w:rsid w:val="006703AD"/>
    <w:rsid w:val="00670578"/>
    <w:rsid w:val="006707D9"/>
    <w:rsid w:val="006707EE"/>
    <w:rsid w:val="00670E7D"/>
    <w:rsid w:val="006715FD"/>
    <w:rsid w:val="00671AAF"/>
    <w:rsid w:val="00671EF6"/>
    <w:rsid w:val="00672141"/>
    <w:rsid w:val="0067222E"/>
    <w:rsid w:val="00672378"/>
    <w:rsid w:val="006724B0"/>
    <w:rsid w:val="00672A92"/>
    <w:rsid w:val="00673221"/>
    <w:rsid w:val="0067349C"/>
    <w:rsid w:val="00673507"/>
    <w:rsid w:val="00673DF1"/>
    <w:rsid w:val="006748C5"/>
    <w:rsid w:val="00674BAA"/>
    <w:rsid w:val="00674BE3"/>
    <w:rsid w:val="00674C23"/>
    <w:rsid w:val="00674F21"/>
    <w:rsid w:val="00675092"/>
    <w:rsid w:val="00675644"/>
    <w:rsid w:val="00675E7A"/>
    <w:rsid w:val="00675EBB"/>
    <w:rsid w:val="00676158"/>
    <w:rsid w:val="00676C86"/>
    <w:rsid w:val="00676D4A"/>
    <w:rsid w:val="00676EBA"/>
    <w:rsid w:val="00676F88"/>
    <w:rsid w:val="006773B3"/>
    <w:rsid w:val="00677745"/>
    <w:rsid w:val="00677ADD"/>
    <w:rsid w:val="00680925"/>
    <w:rsid w:val="00680966"/>
    <w:rsid w:val="00680E34"/>
    <w:rsid w:val="00680F08"/>
    <w:rsid w:val="006813A5"/>
    <w:rsid w:val="00682241"/>
    <w:rsid w:val="00682835"/>
    <w:rsid w:val="006830D0"/>
    <w:rsid w:val="00683247"/>
    <w:rsid w:val="0068331C"/>
    <w:rsid w:val="00683516"/>
    <w:rsid w:val="00683CAB"/>
    <w:rsid w:val="0068494C"/>
    <w:rsid w:val="006851A1"/>
    <w:rsid w:val="0068561E"/>
    <w:rsid w:val="006856CA"/>
    <w:rsid w:val="006857BD"/>
    <w:rsid w:val="00685908"/>
    <w:rsid w:val="0068612F"/>
    <w:rsid w:val="0068649C"/>
    <w:rsid w:val="00686624"/>
    <w:rsid w:val="00686A55"/>
    <w:rsid w:val="00686D68"/>
    <w:rsid w:val="00687200"/>
    <w:rsid w:val="006873FD"/>
    <w:rsid w:val="00687407"/>
    <w:rsid w:val="006876AE"/>
    <w:rsid w:val="00687A13"/>
    <w:rsid w:val="00687D5B"/>
    <w:rsid w:val="0069023A"/>
    <w:rsid w:val="006902CC"/>
    <w:rsid w:val="00690343"/>
    <w:rsid w:val="006908E3"/>
    <w:rsid w:val="00690906"/>
    <w:rsid w:val="00690AFA"/>
    <w:rsid w:val="00690B0E"/>
    <w:rsid w:val="00690D95"/>
    <w:rsid w:val="00691504"/>
    <w:rsid w:val="0069160F"/>
    <w:rsid w:val="00691C97"/>
    <w:rsid w:val="00691CD3"/>
    <w:rsid w:val="00692085"/>
    <w:rsid w:val="006925CA"/>
    <w:rsid w:val="00692721"/>
    <w:rsid w:val="00693531"/>
    <w:rsid w:val="00693875"/>
    <w:rsid w:val="00693F19"/>
    <w:rsid w:val="00694430"/>
    <w:rsid w:val="0069469B"/>
    <w:rsid w:val="006946DC"/>
    <w:rsid w:val="006947B7"/>
    <w:rsid w:val="006949C8"/>
    <w:rsid w:val="00694CE4"/>
    <w:rsid w:val="00695582"/>
    <w:rsid w:val="006956C3"/>
    <w:rsid w:val="00695B00"/>
    <w:rsid w:val="00695BB7"/>
    <w:rsid w:val="00695FBA"/>
    <w:rsid w:val="00696308"/>
    <w:rsid w:val="0069653D"/>
    <w:rsid w:val="006967E3"/>
    <w:rsid w:val="006969E4"/>
    <w:rsid w:val="00696AF8"/>
    <w:rsid w:val="00696C9D"/>
    <w:rsid w:val="00696CE6"/>
    <w:rsid w:val="00696DFA"/>
    <w:rsid w:val="00696E6B"/>
    <w:rsid w:val="00696ED1"/>
    <w:rsid w:val="006979E0"/>
    <w:rsid w:val="00697F7A"/>
    <w:rsid w:val="006A0062"/>
    <w:rsid w:val="006A04BC"/>
    <w:rsid w:val="006A138C"/>
    <w:rsid w:val="006A142C"/>
    <w:rsid w:val="006A1666"/>
    <w:rsid w:val="006A18EB"/>
    <w:rsid w:val="006A1D11"/>
    <w:rsid w:val="006A1D3F"/>
    <w:rsid w:val="006A2166"/>
    <w:rsid w:val="006A2357"/>
    <w:rsid w:val="006A2639"/>
    <w:rsid w:val="006A2CBA"/>
    <w:rsid w:val="006A2EA6"/>
    <w:rsid w:val="006A34F5"/>
    <w:rsid w:val="006A3BFF"/>
    <w:rsid w:val="006A3CF3"/>
    <w:rsid w:val="006A3E66"/>
    <w:rsid w:val="006A4074"/>
    <w:rsid w:val="006A40A4"/>
    <w:rsid w:val="006A412D"/>
    <w:rsid w:val="006A458F"/>
    <w:rsid w:val="006A45B6"/>
    <w:rsid w:val="006A4BF1"/>
    <w:rsid w:val="006A4D5E"/>
    <w:rsid w:val="006A5D17"/>
    <w:rsid w:val="006A5EA5"/>
    <w:rsid w:val="006A6109"/>
    <w:rsid w:val="006A62F0"/>
    <w:rsid w:val="006A63A7"/>
    <w:rsid w:val="006A64F6"/>
    <w:rsid w:val="006A6814"/>
    <w:rsid w:val="006A6A6F"/>
    <w:rsid w:val="006A70F8"/>
    <w:rsid w:val="006A71BE"/>
    <w:rsid w:val="006A773C"/>
    <w:rsid w:val="006A7790"/>
    <w:rsid w:val="006A7A33"/>
    <w:rsid w:val="006A7D05"/>
    <w:rsid w:val="006A7ED2"/>
    <w:rsid w:val="006A7F89"/>
    <w:rsid w:val="006A7FF6"/>
    <w:rsid w:val="006B0136"/>
    <w:rsid w:val="006B02D2"/>
    <w:rsid w:val="006B052F"/>
    <w:rsid w:val="006B06A7"/>
    <w:rsid w:val="006B0BCB"/>
    <w:rsid w:val="006B0E88"/>
    <w:rsid w:val="006B0F86"/>
    <w:rsid w:val="006B0FAD"/>
    <w:rsid w:val="006B111D"/>
    <w:rsid w:val="006B12A8"/>
    <w:rsid w:val="006B1338"/>
    <w:rsid w:val="006B13E2"/>
    <w:rsid w:val="006B17AC"/>
    <w:rsid w:val="006B186A"/>
    <w:rsid w:val="006B18F4"/>
    <w:rsid w:val="006B1A83"/>
    <w:rsid w:val="006B1D11"/>
    <w:rsid w:val="006B23FF"/>
    <w:rsid w:val="006B25AF"/>
    <w:rsid w:val="006B25CD"/>
    <w:rsid w:val="006B2650"/>
    <w:rsid w:val="006B26C4"/>
    <w:rsid w:val="006B28BC"/>
    <w:rsid w:val="006B2A6B"/>
    <w:rsid w:val="006B2DEC"/>
    <w:rsid w:val="006B2EAC"/>
    <w:rsid w:val="006B3321"/>
    <w:rsid w:val="006B357A"/>
    <w:rsid w:val="006B3AEF"/>
    <w:rsid w:val="006B3E85"/>
    <w:rsid w:val="006B3FCC"/>
    <w:rsid w:val="006B44A3"/>
    <w:rsid w:val="006B45B9"/>
    <w:rsid w:val="006B49BE"/>
    <w:rsid w:val="006B4D71"/>
    <w:rsid w:val="006B52DA"/>
    <w:rsid w:val="006B55F8"/>
    <w:rsid w:val="006B5634"/>
    <w:rsid w:val="006B56E3"/>
    <w:rsid w:val="006B58BD"/>
    <w:rsid w:val="006B596C"/>
    <w:rsid w:val="006B5B7F"/>
    <w:rsid w:val="006B5BD5"/>
    <w:rsid w:val="006B5E0D"/>
    <w:rsid w:val="006B67A9"/>
    <w:rsid w:val="006B686F"/>
    <w:rsid w:val="006B71AC"/>
    <w:rsid w:val="006B7733"/>
    <w:rsid w:val="006B7743"/>
    <w:rsid w:val="006B7997"/>
    <w:rsid w:val="006B7DBE"/>
    <w:rsid w:val="006C0180"/>
    <w:rsid w:val="006C0310"/>
    <w:rsid w:val="006C0576"/>
    <w:rsid w:val="006C0720"/>
    <w:rsid w:val="006C08BE"/>
    <w:rsid w:val="006C0BDA"/>
    <w:rsid w:val="006C10CA"/>
    <w:rsid w:val="006C1B98"/>
    <w:rsid w:val="006C1BCA"/>
    <w:rsid w:val="006C1D1E"/>
    <w:rsid w:val="006C1FC4"/>
    <w:rsid w:val="006C21C3"/>
    <w:rsid w:val="006C22CF"/>
    <w:rsid w:val="006C2A2E"/>
    <w:rsid w:val="006C373C"/>
    <w:rsid w:val="006C3752"/>
    <w:rsid w:val="006C38E6"/>
    <w:rsid w:val="006C394D"/>
    <w:rsid w:val="006C3E88"/>
    <w:rsid w:val="006C3EB3"/>
    <w:rsid w:val="006C4159"/>
    <w:rsid w:val="006C499D"/>
    <w:rsid w:val="006C4FA3"/>
    <w:rsid w:val="006C51B7"/>
    <w:rsid w:val="006C5362"/>
    <w:rsid w:val="006C555D"/>
    <w:rsid w:val="006C58A5"/>
    <w:rsid w:val="006C5AF4"/>
    <w:rsid w:val="006C60FD"/>
    <w:rsid w:val="006C6132"/>
    <w:rsid w:val="006C681C"/>
    <w:rsid w:val="006C68F1"/>
    <w:rsid w:val="006C6A69"/>
    <w:rsid w:val="006C6C96"/>
    <w:rsid w:val="006C6D45"/>
    <w:rsid w:val="006C6D9D"/>
    <w:rsid w:val="006C7FE1"/>
    <w:rsid w:val="006D0143"/>
    <w:rsid w:val="006D0C6B"/>
    <w:rsid w:val="006D0CF9"/>
    <w:rsid w:val="006D0E05"/>
    <w:rsid w:val="006D1184"/>
    <w:rsid w:val="006D14D3"/>
    <w:rsid w:val="006D1984"/>
    <w:rsid w:val="006D1A14"/>
    <w:rsid w:val="006D1E88"/>
    <w:rsid w:val="006D214B"/>
    <w:rsid w:val="006D249F"/>
    <w:rsid w:val="006D277C"/>
    <w:rsid w:val="006D3011"/>
    <w:rsid w:val="006D342C"/>
    <w:rsid w:val="006D3533"/>
    <w:rsid w:val="006D35B7"/>
    <w:rsid w:val="006D35D1"/>
    <w:rsid w:val="006D3670"/>
    <w:rsid w:val="006D36A5"/>
    <w:rsid w:val="006D42B9"/>
    <w:rsid w:val="006D446D"/>
    <w:rsid w:val="006D47CB"/>
    <w:rsid w:val="006D4CBD"/>
    <w:rsid w:val="006D4D16"/>
    <w:rsid w:val="006D561E"/>
    <w:rsid w:val="006D56F9"/>
    <w:rsid w:val="006D571E"/>
    <w:rsid w:val="006D58FD"/>
    <w:rsid w:val="006D594A"/>
    <w:rsid w:val="006D5A1D"/>
    <w:rsid w:val="006D5FC6"/>
    <w:rsid w:val="006D61A1"/>
    <w:rsid w:val="006D622F"/>
    <w:rsid w:val="006D63D7"/>
    <w:rsid w:val="006D6B39"/>
    <w:rsid w:val="006D6DF3"/>
    <w:rsid w:val="006D6EFF"/>
    <w:rsid w:val="006D73A6"/>
    <w:rsid w:val="006D75BE"/>
    <w:rsid w:val="006D797D"/>
    <w:rsid w:val="006E0C69"/>
    <w:rsid w:val="006E0E2D"/>
    <w:rsid w:val="006E0F4E"/>
    <w:rsid w:val="006E1032"/>
    <w:rsid w:val="006E12DF"/>
    <w:rsid w:val="006E16FF"/>
    <w:rsid w:val="006E1ADD"/>
    <w:rsid w:val="006E2501"/>
    <w:rsid w:val="006E2528"/>
    <w:rsid w:val="006E2863"/>
    <w:rsid w:val="006E2A50"/>
    <w:rsid w:val="006E2CC0"/>
    <w:rsid w:val="006E2F16"/>
    <w:rsid w:val="006E34EF"/>
    <w:rsid w:val="006E366B"/>
    <w:rsid w:val="006E3AFB"/>
    <w:rsid w:val="006E3BB6"/>
    <w:rsid w:val="006E3F90"/>
    <w:rsid w:val="006E4007"/>
    <w:rsid w:val="006E4339"/>
    <w:rsid w:val="006E4790"/>
    <w:rsid w:val="006E52B6"/>
    <w:rsid w:val="006E5AE6"/>
    <w:rsid w:val="006E5DA7"/>
    <w:rsid w:val="006E5E21"/>
    <w:rsid w:val="006E6020"/>
    <w:rsid w:val="006E6549"/>
    <w:rsid w:val="006E65DB"/>
    <w:rsid w:val="006E66FA"/>
    <w:rsid w:val="006E6829"/>
    <w:rsid w:val="006E68C3"/>
    <w:rsid w:val="006E6A90"/>
    <w:rsid w:val="006E6F5B"/>
    <w:rsid w:val="006E7516"/>
    <w:rsid w:val="006F0187"/>
    <w:rsid w:val="006F01B8"/>
    <w:rsid w:val="006F0406"/>
    <w:rsid w:val="006F0582"/>
    <w:rsid w:val="006F059D"/>
    <w:rsid w:val="006F092E"/>
    <w:rsid w:val="006F189F"/>
    <w:rsid w:val="006F1CDD"/>
    <w:rsid w:val="006F1FB4"/>
    <w:rsid w:val="006F21EF"/>
    <w:rsid w:val="006F2253"/>
    <w:rsid w:val="006F27A4"/>
    <w:rsid w:val="006F28B8"/>
    <w:rsid w:val="006F2AC7"/>
    <w:rsid w:val="006F2DE5"/>
    <w:rsid w:val="006F31E3"/>
    <w:rsid w:val="006F343E"/>
    <w:rsid w:val="006F3811"/>
    <w:rsid w:val="006F40FC"/>
    <w:rsid w:val="006F4469"/>
    <w:rsid w:val="006F490F"/>
    <w:rsid w:val="006F4968"/>
    <w:rsid w:val="006F528E"/>
    <w:rsid w:val="006F548F"/>
    <w:rsid w:val="006F5592"/>
    <w:rsid w:val="006F55A7"/>
    <w:rsid w:val="006F570D"/>
    <w:rsid w:val="006F57B9"/>
    <w:rsid w:val="006F5898"/>
    <w:rsid w:val="006F5CA8"/>
    <w:rsid w:val="006F64F8"/>
    <w:rsid w:val="006F69CF"/>
    <w:rsid w:val="006F69EE"/>
    <w:rsid w:val="006F6C70"/>
    <w:rsid w:val="006F6EAB"/>
    <w:rsid w:val="006F6F34"/>
    <w:rsid w:val="006F73E1"/>
    <w:rsid w:val="006F76B3"/>
    <w:rsid w:val="006F7F95"/>
    <w:rsid w:val="0070023F"/>
    <w:rsid w:val="007004C1"/>
    <w:rsid w:val="007008E2"/>
    <w:rsid w:val="00700C5B"/>
    <w:rsid w:val="00700EB7"/>
    <w:rsid w:val="007013E4"/>
    <w:rsid w:val="00701497"/>
    <w:rsid w:val="00701527"/>
    <w:rsid w:val="007017CF"/>
    <w:rsid w:val="00701908"/>
    <w:rsid w:val="00701AC8"/>
    <w:rsid w:val="00701B59"/>
    <w:rsid w:val="00701C9D"/>
    <w:rsid w:val="00701D9F"/>
    <w:rsid w:val="00702B4C"/>
    <w:rsid w:val="00702F78"/>
    <w:rsid w:val="0070322E"/>
    <w:rsid w:val="00703912"/>
    <w:rsid w:val="007039B1"/>
    <w:rsid w:val="007040E7"/>
    <w:rsid w:val="0070474C"/>
    <w:rsid w:val="00704CF2"/>
    <w:rsid w:val="00704D03"/>
    <w:rsid w:val="00705012"/>
    <w:rsid w:val="007051C6"/>
    <w:rsid w:val="0070574B"/>
    <w:rsid w:val="00705C8B"/>
    <w:rsid w:val="00705E87"/>
    <w:rsid w:val="00706533"/>
    <w:rsid w:val="0070680D"/>
    <w:rsid w:val="00706A88"/>
    <w:rsid w:val="00707242"/>
    <w:rsid w:val="007077A1"/>
    <w:rsid w:val="00707AEB"/>
    <w:rsid w:val="00707B22"/>
    <w:rsid w:val="00707CB1"/>
    <w:rsid w:val="00710342"/>
    <w:rsid w:val="00711998"/>
    <w:rsid w:val="00711B5C"/>
    <w:rsid w:val="00711D0B"/>
    <w:rsid w:val="00711EA6"/>
    <w:rsid w:val="00711F3A"/>
    <w:rsid w:val="00712044"/>
    <w:rsid w:val="007121DD"/>
    <w:rsid w:val="00712813"/>
    <w:rsid w:val="00712BA1"/>
    <w:rsid w:val="00712D7F"/>
    <w:rsid w:val="00712DF5"/>
    <w:rsid w:val="0071327C"/>
    <w:rsid w:val="00713341"/>
    <w:rsid w:val="00713832"/>
    <w:rsid w:val="00713896"/>
    <w:rsid w:val="007138E2"/>
    <w:rsid w:val="00714176"/>
    <w:rsid w:val="00714199"/>
    <w:rsid w:val="00714243"/>
    <w:rsid w:val="00714723"/>
    <w:rsid w:val="007148FD"/>
    <w:rsid w:val="00715153"/>
    <w:rsid w:val="00715B95"/>
    <w:rsid w:val="007160A0"/>
    <w:rsid w:val="007163C2"/>
    <w:rsid w:val="00716519"/>
    <w:rsid w:val="00716881"/>
    <w:rsid w:val="0071694E"/>
    <w:rsid w:val="007169AE"/>
    <w:rsid w:val="00716A5E"/>
    <w:rsid w:val="00716ED2"/>
    <w:rsid w:val="0071723D"/>
    <w:rsid w:val="007172FA"/>
    <w:rsid w:val="00717499"/>
    <w:rsid w:val="007175A0"/>
    <w:rsid w:val="007175F4"/>
    <w:rsid w:val="00717B66"/>
    <w:rsid w:val="00717C49"/>
    <w:rsid w:val="00720A77"/>
    <w:rsid w:val="00720C22"/>
    <w:rsid w:val="00720C50"/>
    <w:rsid w:val="00720C63"/>
    <w:rsid w:val="00720D52"/>
    <w:rsid w:val="007213F5"/>
    <w:rsid w:val="007217B0"/>
    <w:rsid w:val="00721D1E"/>
    <w:rsid w:val="00721DEF"/>
    <w:rsid w:val="00721E99"/>
    <w:rsid w:val="007225D8"/>
    <w:rsid w:val="00722890"/>
    <w:rsid w:val="00723A40"/>
    <w:rsid w:val="00723B5D"/>
    <w:rsid w:val="00723BD3"/>
    <w:rsid w:val="00723F7F"/>
    <w:rsid w:val="00724081"/>
    <w:rsid w:val="007240C1"/>
    <w:rsid w:val="00724326"/>
    <w:rsid w:val="0072480F"/>
    <w:rsid w:val="00724C97"/>
    <w:rsid w:val="00724D11"/>
    <w:rsid w:val="00725020"/>
    <w:rsid w:val="00725065"/>
    <w:rsid w:val="007252AE"/>
    <w:rsid w:val="007258B8"/>
    <w:rsid w:val="00725D22"/>
    <w:rsid w:val="00726171"/>
    <w:rsid w:val="007266EA"/>
    <w:rsid w:val="007267BD"/>
    <w:rsid w:val="00726A08"/>
    <w:rsid w:val="00726B3C"/>
    <w:rsid w:val="00726CB4"/>
    <w:rsid w:val="007270C7"/>
    <w:rsid w:val="00727365"/>
    <w:rsid w:val="00727745"/>
    <w:rsid w:val="00727C9D"/>
    <w:rsid w:val="00730056"/>
    <w:rsid w:val="00730359"/>
    <w:rsid w:val="0073066C"/>
    <w:rsid w:val="0073081C"/>
    <w:rsid w:val="0073126A"/>
    <w:rsid w:val="007315E7"/>
    <w:rsid w:val="0073171C"/>
    <w:rsid w:val="00731795"/>
    <w:rsid w:val="007317F4"/>
    <w:rsid w:val="00731D39"/>
    <w:rsid w:val="00731D3E"/>
    <w:rsid w:val="00732546"/>
    <w:rsid w:val="00732AB7"/>
    <w:rsid w:val="00732C35"/>
    <w:rsid w:val="007333A6"/>
    <w:rsid w:val="00733428"/>
    <w:rsid w:val="007334AF"/>
    <w:rsid w:val="007338E3"/>
    <w:rsid w:val="00733925"/>
    <w:rsid w:val="00733992"/>
    <w:rsid w:val="00733CB7"/>
    <w:rsid w:val="00733D97"/>
    <w:rsid w:val="00733EF4"/>
    <w:rsid w:val="0073439F"/>
    <w:rsid w:val="0073455A"/>
    <w:rsid w:val="00734771"/>
    <w:rsid w:val="00734C04"/>
    <w:rsid w:val="00734FD0"/>
    <w:rsid w:val="00735178"/>
    <w:rsid w:val="007353DA"/>
    <w:rsid w:val="00735BB9"/>
    <w:rsid w:val="00735CCF"/>
    <w:rsid w:val="00735E26"/>
    <w:rsid w:val="0073600F"/>
    <w:rsid w:val="00736595"/>
    <w:rsid w:val="00736978"/>
    <w:rsid w:val="00737112"/>
    <w:rsid w:val="007375BD"/>
    <w:rsid w:val="00737609"/>
    <w:rsid w:val="007378B9"/>
    <w:rsid w:val="0074001B"/>
    <w:rsid w:val="00740179"/>
    <w:rsid w:val="00740556"/>
    <w:rsid w:val="007407A0"/>
    <w:rsid w:val="00740A3C"/>
    <w:rsid w:val="00741142"/>
    <w:rsid w:val="00741376"/>
    <w:rsid w:val="0074180A"/>
    <w:rsid w:val="007418F6"/>
    <w:rsid w:val="00741ABD"/>
    <w:rsid w:val="0074236E"/>
    <w:rsid w:val="007429A6"/>
    <w:rsid w:val="00742AA7"/>
    <w:rsid w:val="00742B45"/>
    <w:rsid w:val="007430AC"/>
    <w:rsid w:val="007433E4"/>
    <w:rsid w:val="00743720"/>
    <w:rsid w:val="00743A12"/>
    <w:rsid w:val="00743F0A"/>
    <w:rsid w:val="00744A22"/>
    <w:rsid w:val="00744FB5"/>
    <w:rsid w:val="007453AB"/>
    <w:rsid w:val="007456A0"/>
    <w:rsid w:val="00745B21"/>
    <w:rsid w:val="00745C3C"/>
    <w:rsid w:val="00745CC3"/>
    <w:rsid w:val="00746485"/>
    <w:rsid w:val="0074671A"/>
    <w:rsid w:val="00746B7B"/>
    <w:rsid w:val="00746E26"/>
    <w:rsid w:val="00746EA6"/>
    <w:rsid w:val="007473B3"/>
    <w:rsid w:val="0074743F"/>
    <w:rsid w:val="007476C6"/>
    <w:rsid w:val="00747718"/>
    <w:rsid w:val="00747769"/>
    <w:rsid w:val="0075009F"/>
    <w:rsid w:val="00750701"/>
    <w:rsid w:val="0075078B"/>
    <w:rsid w:val="00751092"/>
    <w:rsid w:val="00751275"/>
    <w:rsid w:val="007516F8"/>
    <w:rsid w:val="00752029"/>
    <w:rsid w:val="00752110"/>
    <w:rsid w:val="007524C5"/>
    <w:rsid w:val="00752558"/>
    <w:rsid w:val="00752595"/>
    <w:rsid w:val="007526C0"/>
    <w:rsid w:val="0075282A"/>
    <w:rsid w:val="00752B4B"/>
    <w:rsid w:val="00752DFA"/>
    <w:rsid w:val="00752E27"/>
    <w:rsid w:val="00752E7F"/>
    <w:rsid w:val="00753142"/>
    <w:rsid w:val="007532C3"/>
    <w:rsid w:val="007535CB"/>
    <w:rsid w:val="0075373E"/>
    <w:rsid w:val="00753807"/>
    <w:rsid w:val="00753B08"/>
    <w:rsid w:val="00753D9C"/>
    <w:rsid w:val="00754619"/>
    <w:rsid w:val="00754AC6"/>
    <w:rsid w:val="0075591C"/>
    <w:rsid w:val="00755A4A"/>
    <w:rsid w:val="00755C97"/>
    <w:rsid w:val="00755DA7"/>
    <w:rsid w:val="00755F50"/>
    <w:rsid w:val="007564E0"/>
    <w:rsid w:val="007565DB"/>
    <w:rsid w:val="00756712"/>
    <w:rsid w:val="007569C4"/>
    <w:rsid w:val="00756B59"/>
    <w:rsid w:val="00756BC6"/>
    <w:rsid w:val="0075752E"/>
    <w:rsid w:val="007575E0"/>
    <w:rsid w:val="00757694"/>
    <w:rsid w:val="00757956"/>
    <w:rsid w:val="00757A36"/>
    <w:rsid w:val="007600C9"/>
    <w:rsid w:val="007602D0"/>
    <w:rsid w:val="0076031A"/>
    <w:rsid w:val="0076081D"/>
    <w:rsid w:val="0076088C"/>
    <w:rsid w:val="00760AE6"/>
    <w:rsid w:val="00760EA1"/>
    <w:rsid w:val="00760F01"/>
    <w:rsid w:val="0076116D"/>
    <w:rsid w:val="0076121A"/>
    <w:rsid w:val="007613E4"/>
    <w:rsid w:val="007615D1"/>
    <w:rsid w:val="007619F5"/>
    <w:rsid w:val="00761FE8"/>
    <w:rsid w:val="007625E1"/>
    <w:rsid w:val="00762B94"/>
    <w:rsid w:val="00762E27"/>
    <w:rsid w:val="0076318E"/>
    <w:rsid w:val="00763377"/>
    <w:rsid w:val="007633D1"/>
    <w:rsid w:val="007633E3"/>
    <w:rsid w:val="0076346E"/>
    <w:rsid w:val="00763571"/>
    <w:rsid w:val="0076358F"/>
    <w:rsid w:val="00763D1B"/>
    <w:rsid w:val="00763D87"/>
    <w:rsid w:val="00763F3B"/>
    <w:rsid w:val="00764320"/>
    <w:rsid w:val="0076480F"/>
    <w:rsid w:val="00764855"/>
    <w:rsid w:val="00764886"/>
    <w:rsid w:val="00765148"/>
    <w:rsid w:val="0076577A"/>
    <w:rsid w:val="007657E8"/>
    <w:rsid w:val="0076581D"/>
    <w:rsid w:val="007658C0"/>
    <w:rsid w:val="00765EA2"/>
    <w:rsid w:val="00766143"/>
    <w:rsid w:val="0076618B"/>
    <w:rsid w:val="00766488"/>
    <w:rsid w:val="0076673B"/>
    <w:rsid w:val="00766782"/>
    <w:rsid w:val="00766C5E"/>
    <w:rsid w:val="00766D7C"/>
    <w:rsid w:val="00766DDC"/>
    <w:rsid w:val="00767519"/>
    <w:rsid w:val="00767D49"/>
    <w:rsid w:val="00767E40"/>
    <w:rsid w:val="007701DE"/>
    <w:rsid w:val="007702B0"/>
    <w:rsid w:val="00770627"/>
    <w:rsid w:val="007706D9"/>
    <w:rsid w:val="00770989"/>
    <w:rsid w:val="00770CF3"/>
    <w:rsid w:val="00770D67"/>
    <w:rsid w:val="00771254"/>
    <w:rsid w:val="007716A5"/>
    <w:rsid w:val="00771954"/>
    <w:rsid w:val="00771BC0"/>
    <w:rsid w:val="00771CA0"/>
    <w:rsid w:val="00771EA6"/>
    <w:rsid w:val="00772A3A"/>
    <w:rsid w:val="00772C5B"/>
    <w:rsid w:val="00772EE9"/>
    <w:rsid w:val="00773061"/>
    <w:rsid w:val="0077361E"/>
    <w:rsid w:val="007738E8"/>
    <w:rsid w:val="00773AB7"/>
    <w:rsid w:val="00774282"/>
    <w:rsid w:val="00774365"/>
    <w:rsid w:val="0077444C"/>
    <w:rsid w:val="00774497"/>
    <w:rsid w:val="00774998"/>
    <w:rsid w:val="00774D97"/>
    <w:rsid w:val="0077502C"/>
    <w:rsid w:val="00775102"/>
    <w:rsid w:val="00775436"/>
    <w:rsid w:val="007754D6"/>
    <w:rsid w:val="00776564"/>
    <w:rsid w:val="00776D00"/>
    <w:rsid w:val="00776D41"/>
    <w:rsid w:val="00776F7A"/>
    <w:rsid w:val="00777E11"/>
    <w:rsid w:val="0078003A"/>
    <w:rsid w:val="007802EE"/>
    <w:rsid w:val="00780316"/>
    <w:rsid w:val="00780742"/>
    <w:rsid w:val="00781210"/>
    <w:rsid w:val="00781887"/>
    <w:rsid w:val="007822E5"/>
    <w:rsid w:val="0078296E"/>
    <w:rsid w:val="007831A0"/>
    <w:rsid w:val="00783325"/>
    <w:rsid w:val="007833D3"/>
    <w:rsid w:val="00783413"/>
    <w:rsid w:val="007836C1"/>
    <w:rsid w:val="00783844"/>
    <w:rsid w:val="007839CB"/>
    <w:rsid w:val="00783A7D"/>
    <w:rsid w:val="00783C92"/>
    <w:rsid w:val="00783FC5"/>
    <w:rsid w:val="00783FE6"/>
    <w:rsid w:val="00784091"/>
    <w:rsid w:val="007843DB"/>
    <w:rsid w:val="0078527F"/>
    <w:rsid w:val="00785642"/>
    <w:rsid w:val="00785876"/>
    <w:rsid w:val="0078590E"/>
    <w:rsid w:val="00785BF5"/>
    <w:rsid w:val="00785D98"/>
    <w:rsid w:val="00785E1F"/>
    <w:rsid w:val="00786213"/>
    <w:rsid w:val="00786630"/>
    <w:rsid w:val="00786662"/>
    <w:rsid w:val="007866E6"/>
    <w:rsid w:val="007867F0"/>
    <w:rsid w:val="0078690F"/>
    <w:rsid w:val="00786947"/>
    <w:rsid w:val="00786B2A"/>
    <w:rsid w:val="007870DC"/>
    <w:rsid w:val="00787149"/>
    <w:rsid w:val="00787199"/>
    <w:rsid w:val="00787690"/>
    <w:rsid w:val="0078787A"/>
    <w:rsid w:val="007878A2"/>
    <w:rsid w:val="00787E97"/>
    <w:rsid w:val="00790061"/>
    <w:rsid w:val="0079081F"/>
    <w:rsid w:val="00790AB5"/>
    <w:rsid w:val="00790E1B"/>
    <w:rsid w:val="00791304"/>
    <w:rsid w:val="007913D7"/>
    <w:rsid w:val="00791534"/>
    <w:rsid w:val="00791726"/>
    <w:rsid w:val="0079185C"/>
    <w:rsid w:val="00791A96"/>
    <w:rsid w:val="00791AD6"/>
    <w:rsid w:val="00791F37"/>
    <w:rsid w:val="00792390"/>
    <w:rsid w:val="00792E5A"/>
    <w:rsid w:val="00792EDC"/>
    <w:rsid w:val="00793378"/>
    <w:rsid w:val="00793450"/>
    <w:rsid w:val="007935AB"/>
    <w:rsid w:val="00793B16"/>
    <w:rsid w:val="0079411F"/>
    <w:rsid w:val="00794231"/>
    <w:rsid w:val="007944EA"/>
    <w:rsid w:val="00794546"/>
    <w:rsid w:val="00794547"/>
    <w:rsid w:val="00794611"/>
    <w:rsid w:val="00794A7F"/>
    <w:rsid w:val="00794E74"/>
    <w:rsid w:val="00795391"/>
    <w:rsid w:val="007953C2"/>
    <w:rsid w:val="007958CF"/>
    <w:rsid w:val="00795949"/>
    <w:rsid w:val="00795BB8"/>
    <w:rsid w:val="00795ECB"/>
    <w:rsid w:val="007963A6"/>
    <w:rsid w:val="00796820"/>
    <w:rsid w:val="00796906"/>
    <w:rsid w:val="00796C41"/>
    <w:rsid w:val="00796CFE"/>
    <w:rsid w:val="00797067"/>
    <w:rsid w:val="0079771F"/>
    <w:rsid w:val="00797C18"/>
    <w:rsid w:val="00797EB6"/>
    <w:rsid w:val="007A002C"/>
    <w:rsid w:val="007A030F"/>
    <w:rsid w:val="007A0610"/>
    <w:rsid w:val="007A06C1"/>
    <w:rsid w:val="007A07F5"/>
    <w:rsid w:val="007A09B7"/>
    <w:rsid w:val="007A1048"/>
    <w:rsid w:val="007A10CE"/>
    <w:rsid w:val="007A1610"/>
    <w:rsid w:val="007A194C"/>
    <w:rsid w:val="007A1EA2"/>
    <w:rsid w:val="007A1ECF"/>
    <w:rsid w:val="007A2A90"/>
    <w:rsid w:val="007A3338"/>
    <w:rsid w:val="007A38C7"/>
    <w:rsid w:val="007A39A8"/>
    <w:rsid w:val="007A405F"/>
    <w:rsid w:val="007A43A8"/>
    <w:rsid w:val="007A46A6"/>
    <w:rsid w:val="007A4AE5"/>
    <w:rsid w:val="007A4EA1"/>
    <w:rsid w:val="007A5974"/>
    <w:rsid w:val="007A5DB5"/>
    <w:rsid w:val="007A5EC5"/>
    <w:rsid w:val="007A6F0C"/>
    <w:rsid w:val="007A6F70"/>
    <w:rsid w:val="007A7211"/>
    <w:rsid w:val="007A765A"/>
    <w:rsid w:val="007A7D4A"/>
    <w:rsid w:val="007B0025"/>
    <w:rsid w:val="007B00A7"/>
    <w:rsid w:val="007B0AB5"/>
    <w:rsid w:val="007B0DFD"/>
    <w:rsid w:val="007B1E94"/>
    <w:rsid w:val="007B22C6"/>
    <w:rsid w:val="007B23E5"/>
    <w:rsid w:val="007B2604"/>
    <w:rsid w:val="007B2B0F"/>
    <w:rsid w:val="007B2D6F"/>
    <w:rsid w:val="007B3035"/>
    <w:rsid w:val="007B3414"/>
    <w:rsid w:val="007B379E"/>
    <w:rsid w:val="007B4B6F"/>
    <w:rsid w:val="007B4DC0"/>
    <w:rsid w:val="007B4E1A"/>
    <w:rsid w:val="007B517A"/>
    <w:rsid w:val="007B57B0"/>
    <w:rsid w:val="007B5EE3"/>
    <w:rsid w:val="007B5F40"/>
    <w:rsid w:val="007B620C"/>
    <w:rsid w:val="007B6376"/>
    <w:rsid w:val="007B63F9"/>
    <w:rsid w:val="007B71CD"/>
    <w:rsid w:val="007B74BA"/>
    <w:rsid w:val="007B7A2F"/>
    <w:rsid w:val="007B7E99"/>
    <w:rsid w:val="007C027E"/>
    <w:rsid w:val="007C0365"/>
    <w:rsid w:val="007C0787"/>
    <w:rsid w:val="007C0866"/>
    <w:rsid w:val="007C088B"/>
    <w:rsid w:val="007C168B"/>
    <w:rsid w:val="007C19E5"/>
    <w:rsid w:val="007C1E42"/>
    <w:rsid w:val="007C221F"/>
    <w:rsid w:val="007C2351"/>
    <w:rsid w:val="007C2397"/>
    <w:rsid w:val="007C25D1"/>
    <w:rsid w:val="007C29AE"/>
    <w:rsid w:val="007C2BC9"/>
    <w:rsid w:val="007C2F3D"/>
    <w:rsid w:val="007C3286"/>
    <w:rsid w:val="007C32D2"/>
    <w:rsid w:val="007C3734"/>
    <w:rsid w:val="007C3F6B"/>
    <w:rsid w:val="007C49C6"/>
    <w:rsid w:val="007C523F"/>
    <w:rsid w:val="007C53BC"/>
    <w:rsid w:val="007C5685"/>
    <w:rsid w:val="007C59CB"/>
    <w:rsid w:val="007C5C1F"/>
    <w:rsid w:val="007C5CAE"/>
    <w:rsid w:val="007C6116"/>
    <w:rsid w:val="007C6357"/>
    <w:rsid w:val="007C6691"/>
    <w:rsid w:val="007C69B7"/>
    <w:rsid w:val="007C766F"/>
    <w:rsid w:val="007C76C4"/>
    <w:rsid w:val="007C788E"/>
    <w:rsid w:val="007C7E0A"/>
    <w:rsid w:val="007C7E9E"/>
    <w:rsid w:val="007D00A1"/>
    <w:rsid w:val="007D0120"/>
    <w:rsid w:val="007D0A9E"/>
    <w:rsid w:val="007D0B7C"/>
    <w:rsid w:val="007D0ED0"/>
    <w:rsid w:val="007D120F"/>
    <w:rsid w:val="007D1BBE"/>
    <w:rsid w:val="007D1C86"/>
    <w:rsid w:val="007D1EFF"/>
    <w:rsid w:val="007D1F7B"/>
    <w:rsid w:val="007D26D0"/>
    <w:rsid w:val="007D285B"/>
    <w:rsid w:val="007D2D0E"/>
    <w:rsid w:val="007D3064"/>
    <w:rsid w:val="007D31F2"/>
    <w:rsid w:val="007D35F5"/>
    <w:rsid w:val="007D371F"/>
    <w:rsid w:val="007D388A"/>
    <w:rsid w:val="007D3FC8"/>
    <w:rsid w:val="007D4108"/>
    <w:rsid w:val="007D4230"/>
    <w:rsid w:val="007D43A0"/>
    <w:rsid w:val="007D4457"/>
    <w:rsid w:val="007D448E"/>
    <w:rsid w:val="007D44D0"/>
    <w:rsid w:val="007D460E"/>
    <w:rsid w:val="007D46C9"/>
    <w:rsid w:val="007D46DD"/>
    <w:rsid w:val="007D4CB1"/>
    <w:rsid w:val="007D4D56"/>
    <w:rsid w:val="007D51E4"/>
    <w:rsid w:val="007D528D"/>
    <w:rsid w:val="007D52F9"/>
    <w:rsid w:val="007D5BF4"/>
    <w:rsid w:val="007D5BFE"/>
    <w:rsid w:val="007D5C0E"/>
    <w:rsid w:val="007D5F93"/>
    <w:rsid w:val="007D61BA"/>
    <w:rsid w:val="007D6532"/>
    <w:rsid w:val="007D6AB7"/>
    <w:rsid w:val="007D6BBA"/>
    <w:rsid w:val="007D6FDB"/>
    <w:rsid w:val="007D721D"/>
    <w:rsid w:val="007D7602"/>
    <w:rsid w:val="007D76E8"/>
    <w:rsid w:val="007D79E0"/>
    <w:rsid w:val="007D7EBE"/>
    <w:rsid w:val="007E01B9"/>
    <w:rsid w:val="007E039C"/>
    <w:rsid w:val="007E0481"/>
    <w:rsid w:val="007E0533"/>
    <w:rsid w:val="007E05A9"/>
    <w:rsid w:val="007E094A"/>
    <w:rsid w:val="007E0950"/>
    <w:rsid w:val="007E0CC1"/>
    <w:rsid w:val="007E1108"/>
    <w:rsid w:val="007E15E6"/>
    <w:rsid w:val="007E1C2F"/>
    <w:rsid w:val="007E1E0C"/>
    <w:rsid w:val="007E2197"/>
    <w:rsid w:val="007E238D"/>
    <w:rsid w:val="007E258E"/>
    <w:rsid w:val="007E26AB"/>
    <w:rsid w:val="007E2C6A"/>
    <w:rsid w:val="007E2D90"/>
    <w:rsid w:val="007E2ECB"/>
    <w:rsid w:val="007E3399"/>
    <w:rsid w:val="007E39CB"/>
    <w:rsid w:val="007E3EDA"/>
    <w:rsid w:val="007E4457"/>
    <w:rsid w:val="007E4B9C"/>
    <w:rsid w:val="007E4DCE"/>
    <w:rsid w:val="007E4E80"/>
    <w:rsid w:val="007E4EE5"/>
    <w:rsid w:val="007E51A9"/>
    <w:rsid w:val="007E5671"/>
    <w:rsid w:val="007E5781"/>
    <w:rsid w:val="007E6244"/>
    <w:rsid w:val="007E63F4"/>
    <w:rsid w:val="007E652F"/>
    <w:rsid w:val="007E68E4"/>
    <w:rsid w:val="007E6D19"/>
    <w:rsid w:val="007E6E8D"/>
    <w:rsid w:val="007E6FA9"/>
    <w:rsid w:val="007E73D5"/>
    <w:rsid w:val="007E75B0"/>
    <w:rsid w:val="007E7877"/>
    <w:rsid w:val="007E7B00"/>
    <w:rsid w:val="007F04DB"/>
    <w:rsid w:val="007F067B"/>
    <w:rsid w:val="007F07B4"/>
    <w:rsid w:val="007F1152"/>
    <w:rsid w:val="007F1347"/>
    <w:rsid w:val="007F14ED"/>
    <w:rsid w:val="007F17D7"/>
    <w:rsid w:val="007F1DB3"/>
    <w:rsid w:val="007F2650"/>
    <w:rsid w:val="007F267B"/>
    <w:rsid w:val="007F26CC"/>
    <w:rsid w:val="007F283F"/>
    <w:rsid w:val="007F29BA"/>
    <w:rsid w:val="007F2B13"/>
    <w:rsid w:val="007F2D22"/>
    <w:rsid w:val="007F2F8D"/>
    <w:rsid w:val="007F3115"/>
    <w:rsid w:val="007F3192"/>
    <w:rsid w:val="007F3444"/>
    <w:rsid w:val="007F3630"/>
    <w:rsid w:val="007F3C30"/>
    <w:rsid w:val="007F4376"/>
    <w:rsid w:val="007F43BD"/>
    <w:rsid w:val="007F43F4"/>
    <w:rsid w:val="007F480A"/>
    <w:rsid w:val="007F4857"/>
    <w:rsid w:val="007F4987"/>
    <w:rsid w:val="007F4E3E"/>
    <w:rsid w:val="007F5396"/>
    <w:rsid w:val="007F59CA"/>
    <w:rsid w:val="007F5C45"/>
    <w:rsid w:val="007F660E"/>
    <w:rsid w:val="007F670E"/>
    <w:rsid w:val="007F6A94"/>
    <w:rsid w:val="007F6AFB"/>
    <w:rsid w:val="007F6C46"/>
    <w:rsid w:val="007F6CC3"/>
    <w:rsid w:val="007F6ECC"/>
    <w:rsid w:val="007F7036"/>
    <w:rsid w:val="007F710B"/>
    <w:rsid w:val="007F735F"/>
    <w:rsid w:val="007F7379"/>
    <w:rsid w:val="007F7542"/>
    <w:rsid w:val="007F7736"/>
    <w:rsid w:val="007F77AA"/>
    <w:rsid w:val="007F7DBF"/>
    <w:rsid w:val="007F7ED5"/>
    <w:rsid w:val="00800027"/>
    <w:rsid w:val="00800551"/>
    <w:rsid w:val="008008E5"/>
    <w:rsid w:val="00800A82"/>
    <w:rsid w:val="00800C43"/>
    <w:rsid w:val="00800F8C"/>
    <w:rsid w:val="00800F9E"/>
    <w:rsid w:val="008011F0"/>
    <w:rsid w:val="008013EF"/>
    <w:rsid w:val="00801527"/>
    <w:rsid w:val="008017CB"/>
    <w:rsid w:val="008019F9"/>
    <w:rsid w:val="008021B3"/>
    <w:rsid w:val="00802455"/>
    <w:rsid w:val="008027DE"/>
    <w:rsid w:val="00802AB3"/>
    <w:rsid w:val="00802DE3"/>
    <w:rsid w:val="0080322C"/>
    <w:rsid w:val="008034DC"/>
    <w:rsid w:val="008035A3"/>
    <w:rsid w:val="0080364F"/>
    <w:rsid w:val="00803C22"/>
    <w:rsid w:val="0080437F"/>
    <w:rsid w:val="00804F06"/>
    <w:rsid w:val="008050D6"/>
    <w:rsid w:val="00805612"/>
    <w:rsid w:val="00805FBF"/>
    <w:rsid w:val="00806067"/>
    <w:rsid w:val="00806082"/>
    <w:rsid w:val="00806098"/>
    <w:rsid w:val="0080664B"/>
    <w:rsid w:val="0080673A"/>
    <w:rsid w:val="00806C61"/>
    <w:rsid w:val="00807536"/>
    <w:rsid w:val="0080775A"/>
    <w:rsid w:val="00807816"/>
    <w:rsid w:val="008079A0"/>
    <w:rsid w:val="00807A98"/>
    <w:rsid w:val="00807CC9"/>
    <w:rsid w:val="00807E81"/>
    <w:rsid w:val="00810161"/>
    <w:rsid w:val="008105B5"/>
    <w:rsid w:val="0081085E"/>
    <w:rsid w:val="00810F8A"/>
    <w:rsid w:val="0081152E"/>
    <w:rsid w:val="00811A49"/>
    <w:rsid w:val="00811ABC"/>
    <w:rsid w:val="008128F8"/>
    <w:rsid w:val="0081298B"/>
    <w:rsid w:val="00812DBD"/>
    <w:rsid w:val="00813495"/>
    <w:rsid w:val="008135DE"/>
    <w:rsid w:val="0081426F"/>
    <w:rsid w:val="0081456B"/>
    <w:rsid w:val="00814917"/>
    <w:rsid w:val="00814C83"/>
    <w:rsid w:val="00814F52"/>
    <w:rsid w:val="00814F5D"/>
    <w:rsid w:val="0081571A"/>
    <w:rsid w:val="00815A56"/>
    <w:rsid w:val="00815C0D"/>
    <w:rsid w:val="0081607B"/>
    <w:rsid w:val="00816127"/>
    <w:rsid w:val="0081612E"/>
    <w:rsid w:val="0081619F"/>
    <w:rsid w:val="0081638A"/>
    <w:rsid w:val="008167C2"/>
    <w:rsid w:val="0081687E"/>
    <w:rsid w:val="008168C7"/>
    <w:rsid w:val="00816AD4"/>
    <w:rsid w:val="00816EB7"/>
    <w:rsid w:val="00817139"/>
    <w:rsid w:val="0081730D"/>
    <w:rsid w:val="00817548"/>
    <w:rsid w:val="008179BF"/>
    <w:rsid w:val="008207AF"/>
    <w:rsid w:val="0082090B"/>
    <w:rsid w:val="008212E6"/>
    <w:rsid w:val="00821909"/>
    <w:rsid w:val="00821B61"/>
    <w:rsid w:val="00821C42"/>
    <w:rsid w:val="00821C9F"/>
    <w:rsid w:val="00821D07"/>
    <w:rsid w:val="00821EB4"/>
    <w:rsid w:val="00822191"/>
    <w:rsid w:val="00822478"/>
    <w:rsid w:val="0082250A"/>
    <w:rsid w:val="008226EC"/>
    <w:rsid w:val="008227CC"/>
    <w:rsid w:val="008228A0"/>
    <w:rsid w:val="008228F3"/>
    <w:rsid w:val="008235CC"/>
    <w:rsid w:val="0082407F"/>
    <w:rsid w:val="008240C2"/>
    <w:rsid w:val="00824624"/>
    <w:rsid w:val="008246FD"/>
    <w:rsid w:val="008247F9"/>
    <w:rsid w:val="008248B4"/>
    <w:rsid w:val="00824E82"/>
    <w:rsid w:val="008257A5"/>
    <w:rsid w:val="00825DE7"/>
    <w:rsid w:val="00825FA2"/>
    <w:rsid w:val="00826592"/>
    <w:rsid w:val="00826DF1"/>
    <w:rsid w:val="008275AC"/>
    <w:rsid w:val="00827746"/>
    <w:rsid w:val="00827EE6"/>
    <w:rsid w:val="008304F5"/>
    <w:rsid w:val="0083053D"/>
    <w:rsid w:val="00830614"/>
    <w:rsid w:val="00830667"/>
    <w:rsid w:val="008306B5"/>
    <w:rsid w:val="008308C0"/>
    <w:rsid w:val="00830CB1"/>
    <w:rsid w:val="008310EC"/>
    <w:rsid w:val="00831575"/>
    <w:rsid w:val="0083164D"/>
    <w:rsid w:val="008316ED"/>
    <w:rsid w:val="008321F5"/>
    <w:rsid w:val="008325D6"/>
    <w:rsid w:val="0083269E"/>
    <w:rsid w:val="00832773"/>
    <w:rsid w:val="0083283A"/>
    <w:rsid w:val="008329D1"/>
    <w:rsid w:val="00832DFF"/>
    <w:rsid w:val="008339FC"/>
    <w:rsid w:val="00833D2C"/>
    <w:rsid w:val="00833F27"/>
    <w:rsid w:val="00834209"/>
    <w:rsid w:val="00834517"/>
    <w:rsid w:val="00834674"/>
    <w:rsid w:val="00834AD2"/>
    <w:rsid w:val="00834D1D"/>
    <w:rsid w:val="00835245"/>
    <w:rsid w:val="008358E4"/>
    <w:rsid w:val="00835BBE"/>
    <w:rsid w:val="0083645E"/>
    <w:rsid w:val="0083651C"/>
    <w:rsid w:val="00836590"/>
    <w:rsid w:val="0083698D"/>
    <w:rsid w:val="00836C4A"/>
    <w:rsid w:val="00836C6B"/>
    <w:rsid w:val="00837825"/>
    <w:rsid w:val="00837A86"/>
    <w:rsid w:val="00837AFB"/>
    <w:rsid w:val="00837BE5"/>
    <w:rsid w:val="00837C68"/>
    <w:rsid w:val="00837EAE"/>
    <w:rsid w:val="0084014C"/>
    <w:rsid w:val="00840825"/>
    <w:rsid w:val="00841271"/>
    <w:rsid w:val="008413DA"/>
    <w:rsid w:val="008419EE"/>
    <w:rsid w:val="00842290"/>
    <w:rsid w:val="00842731"/>
    <w:rsid w:val="0084287E"/>
    <w:rsid w:val="00842A12"/>
    <w:rsid w:val="00842D0C"/>
    <w:rsid w:val="0084315C"/>
    <w:rsid w:val="00843D82"/>
    <w:rsid w:val="00844518"/>
    <w:rsid w:val="00844AC7"/>
    <w:rsid w:val="0084517E"/>
    <w:rsid w:val="008454FA"/>
    <w:rsid w:val="0084581C"/>
    <w:rsid w:val="00845A0D"/>
    <w:rsid w:val="00845AAE"/>
    <w:rsid w:val="00845FC7"/>
    <w:rsid w:val="008461E8"/>
    <w:rsid w:val="00846CD2"/>
    <w:rsid w:val="00847173"/>
    <w:rsid w:val="008476FF"/>
    <w:rsid w:val="00847885"/>
    <w:rsid w:val="00847A5D"/>
    <w:rsid w:val="00847E99"/>
    <w:rsid w:val="0085024C"/>
    <w:rsid w:val="008505FB"/>
    <w:rsid w:val="00850756"/>
    <w:rsid w:val="00850772"/>
    <w:rsid w:val="00850F70"/>
    <w:rsid w:val="00851358"/>
    <w:rsid w:val="0085136C"/>
    <w:rsid w:val="0085170D"/>
    <w:rsid w:val="00851890"/>
    <w:rsid w:val="008518BE"/>
    <w:rsid w:val="00851AE8"/>
    <w:rsid w:val="00851DE8"/>
    <w:rsid w:val="008526AD"/>
    <w:rsid w:val="00853247"/>
    <w:rsid w:val="00853611"/>
    <w:rsid w:val="00853B5C"/>
    <w:rsid w:val="00854652"/>
    <w:rsid w:val="00854DAC"/>
    <w:rsid w:val="00854E15"/>
    <w:rsid w:val="00854EB6"/>
    <w:rsid w:val="00855120"/>
    <w:rsid w:val="00855321"/>
    <w:rsid w:val="008554AE"/>
    <w:rsid w:val="008557AD"/>
    <w:rsid w:val="008559BF"/>
    <w:rsid w:val="00855B55"/>
    <w:rsid w:val="00855B65"/>
    <w:rsid w:val="00855CBD"/>
    <w:rsid w:val="00855E5B"/>
    <w:rsid w:val="00855E80"/>
    <w:rsid w:val="008561C5"/>
    <w:rsid w:val="0085641F"/>
    <w:rsid w:val="008564ED"/>
    <w:rsid w:val="008568FC"/>
    <w:rsid w:val="00856904"/>
    <w:rsid w:val="008577C6"/>
    <w:rsid w:val="008577CA"/>
    <w:rsid w:val="00857802"/>
    <w:rsid w:val="00857998"/>
    <w:rsid w:val="00857B6B"/>
    <w:rsid w:val="0086038D"/>
    <w:rsid w:val="0086059A"/>
    <w:rsid w:val="00860B40"/>
    <w:rsid w:val="00860C5C"/>
    <w:rsid w:val="00860EC3"/>
    <w:rsid w:val="0086134F"/>
    <w:rsid w:val="00861AC6"/>
    <w:rsid w:val="00861B3D"/>
    <w:rsid w:val="00861B73"/>
    <w:rsid w:val="00861B95"/>
    <w:rsid w:val="008624D6"/>
    <w:rsid w:val="0086253C"/>
    <w:rsid w:val="0086293D"/>
    <w:rsid w:val="008629DD"/>
    <w:rsid w:val="00862E2E"/>
    <w:rsid w:val="008631E2"/>
    <w:rsid w:val="008633A0"/>
    <w:rsid w:val="00863739"/>
    <w:rsid w:val="008637FC"/>
    <w:rsid w:val="0086403A"/>
    <w:rsid w:val="00864423"/>
    <w:rsid w:val="008649F4"/>
    <w:rsid w:val="00864C1C"/>
    <w:rsid w:val="00864C34"/>
    <w:rsid w:val="00864DFE"/>
    <w:rsid w:val="00864FBB"/>
    <w:rsid w:val="00864FD2"/>
    <w:rsid w:val="008650FE"/>
    <w:rsid w:val="008659BF"/>
    <w:rsid w:val="00865F9B"/>
    <w:rsid w:val="00866244"/>
    <w:rsid w:val="008662F9"/>
    <w:rsid w:val="00866643"/>
    <w:rsid w:val="00866748"/>
    <w:rsid w:val="00866D85"/>
    <w:rsid w:val="00866EBD"/>
    <w:rsid w:val="00866F4A"/>
    <w:rsid w:val="008671E1"/>
    <w:rsid w:val="008672FB"/>
    <w:rsid w:val="008674B5"/>
    <w:rsid w:val="008675E0"/>
    <w:rsid w:val="008676BB"/>
    <w:rsid w:val="00867757"/>
    <w:rsid w:val="00867A75"/>
    <w:rsid w:val="00867D12"/>
    <w:rsid w:val="00870063"/>
    <w:rsid w:val="00870069"/>
    <w:rsid w:val="00870924"/>
    <w:rsid w:val="0087096C"/>
    <w:rsid w:val="00870B77"/>
    <w:rsid w:val="00870D07"/>
    <w:rsid w:val="00870D3A"/>
    <w:rsid w:val="00870F10"/>
    <w:rsid w:val="00870FF7"/>
    <w:rsid w:val="0087101F"/>
    <w:rsid w:val="00871065"/>
    <w:rsid w:val="00871093"/>
    <w:rsid w:val="00871757"/>
    <w:rsid w:val="00871B01"/>
    <w:rsid w:val="00872C15"/>
    <w:rsid w:val="00873366"/>
    <w:rsid w:val="00873374"/>
    <w:rsid w:val="008733DB"/>
    <w:rsid w:val="00873403"/>
    <w:rsid w:val="00873521"/>
    <w:rsid w:val="008737DD"/>
    <w:rsid w:val="00874080"/>
    <w:rsid w:val="008740DA"/>
    <w:rsid w:val="008741B5"/>
    <w:rsid w:val="0087449A"/>
    <w:rsid w:val="0087459B"/>
    <w:rsid w:val="00874C08"/>
    <w:rsid w:val="00874F18"/>
    <w:rsid w:val="00875536"/>
    <w:rsid w:val="00875834"/>
    <w:rsid w:val="008759D9"/>
    <w:rsid w:val="00875C9E"/>
    <w:rsid w:val="00876509"/>
    <w:rsid w:val="008766D3"/>
    <w:rsid w:val="00876BB0"/>
    <w:rsid w:val="00876F63"/>
    <w:rsid w:val="008771C2"/>
    <w:rsid w:val="00877340"/>
    <w:rsid w:val="0087754A"/>
    <w:rsid w:val="0087759B"/>
    <w:rsid w:val="00877825"/>
    <w:rsid w:val="0087792D"/>
    <w:rsid w:val="00877B51"/>
    <w:rsid w:val="00877BE7"/>
    <w:rsid w:val="00880254"/>
    <w:rsid w:val="008803B4"/>
    <w:rsid w:val="00880CD8"/>
    <w:rsid w:val="008826EB"/>
    <w:rsid w:val="00882A69"/>
    <w:rsid w:val="00882D92"/>
    <w:rsid w:val="00882E50"/>
    <w:rsid w:val="008836B1"/>
    <w:rsid w:val="008838A0"/>
    <w:rsid w:val="00883E14"/>
    <w:rsid w:val="00883EC0"/>
    <w:rsid w:val="00884165"/>
    <w:rsid w:val="00884554"/>
    <w:rsid w:val="00884618"/>
    <w:rsid w:val="00884910"/>
    <w:rsid w:val="008853D6"/>
    <w:rsid w:val="0088545A"/>
    <w:rsid w:val="0088556C"/>
    <w:rsid w:val="0088561C"/>
    <w:rsid w:val="0088578D"/>
    <w:rsid w:val="00885B3E"/>
    <w:rsid w:val="00885CA4"/>
    <w:rsid w:val="00885E60"/>
    <w:rsid w:val="00886475"/>
    <w:rsid w:val="0088670A"/>
    <w:rsid w:val="00886876"/>
    <w:rsid w:val="00886A1F"/>
    <w:rsid w:val="0088708E"/>
    <w:rsid w:val="00887352"/>
    <w:rsid w:val="008905AF"/>
    <w:rsid w:val="00890830"/>
    <w:rsid w:val="008909DF"/>
    <w:rsid w:val="00890FFE"/>
    <w:rsid w:val="00891153"/>
    <w:rsid w:val="0089128E"/>
    <w:rsid w:val="00891A2E"/>
    <w:rsid w:val="00891F2F"/>
    <w:rsid w:val="00892144"/>
    <w:rsid w:val="00892189"/>
    <w:rsid w:val="0089224B"/>
    <w:rsid w:val="00892347"/>
    <w:rsid w:val="00892402"/>
    <w:rsid w:val="00892603"/>
    <w:rsid w:val="00892B5A"/>
    <w:rsid w:val="00892E42"/>
    <w:rsid w:val="00893007"/>
    <w:rsid w:val="0089333D"/>
    <w:rsid w:val="00893981"/>
    <w:rsid w:val="008939A9"/>
    <w:rsid w:val="00893A36"/>
    <w:rsid w:val="00893AEF"/>
    <w:rsid w:val="00893E3D"/>
    <w:rsid w:val="00893FEC"/>
    <w:rsid w:val="008941A8"/>
    <w:rsid w:val="00894799"/>
    <w:rsid w:val="00894C5F"/>
    <w:rsid w:val="00894D5C"/>
    <w:rsid w:val="00894DEF"/>
    <w:rsid w:val="008954A5"/>
    <w:rsid w:val="008955B2"/>
    <w:rsid w:val="00895DE9"/>
    <w:rsid w:val="00895E51"/>
    <w:rsid w:val="00895ECB"/>
    <w:rsid w:val="00895F74"/>
    <w:rsid w:val="0089613B"/>
    <w:rsid w:val="008963D7"/>
    <w:rsid w:val="0089691A"/>
    <w:rsid w:val="00896E49"/>
    <w:rsid w:val="00896FF1"/>
    <w:rsid w:val="00897362"/>
    <w:rsid w:val="008977E4"/>
    <w:rsid w:val="0089791F"/>
    <w:rsid w:val="00897A83"/>
    <w:rsid w:val="008A0079"/>
    <w:rsid w:val="008A0585"/>
    <w:rsid w:val="008A06D8"/>
    <w:rsid w:val="008A0BBE"/>
    <w:rsid w:val="008A0C93"/>
    <w:rsid w:val="008A1155"/>
    <w:rsid w:val="008A125D"/>
    <w:rsid w:val="008A1BA7"/>
    <w:rsid w:val="008A1E06"/>
    <w:rsid w:val="008A2072"/>
    <w:rsid w:val="008A27DA"/>
    <w:rsid w:val="008A27DE"/>
    <w:rsid w:val="008A2924"/>
    <w:rsid w:val="008A2973"/>
    <w:rsid w:val="008A29CD"/>
    <w:rsid w:val="008A2CBD"/>
    <w:rsid w:val="008A2DFC"/>
    <w:rsid w:val="008A2EF9"/>
    <w:rsid w:val="008A2F78"/>
    <w:rsid w:val="008A3652"/>
    <w:rsid w:val="008A36F8"/>
    <w:rsid w:val="008A378E"/>
    <w:rsid w:val="008A3A81"/>
    <w:rsid w:val="008A44A6"/>
    <w:rsid w:val="008A4718"/>
    <w:rsid w:val="008A4F24"/>
    <w:rsid w:val="008A50FB"/>
    <w:rsid w:val="008A562F"/>
    <w:rsid w:val="008A5C76"/>
    <w:rsid w:val="008A5D20"/>
    <w:rsid w:val="008A5E66"/>
    <w:rsid w:val="008A5ED2"/>
    <w:rsid w:val="008A61A2"/>
    <w:rsid w:val="008A62EB"/>
    <w:rsid w:val="008A646A"/>
    <w:rsid w:val="008A67D3"/>
    <w:rsid w:val="008A6C60"/>
    <w:rsid w:val="008A7199"/>
    <w:rsid w:val="008A7323"/>
    <w:rsid w:val="008A7326"/>
    <w:rsid w:val="008A7579"/>
    <w:rsid w:val="008A77B3"/>
    <w:rsid w:val="008A79B6"/>
    <w:rsid w:val="008A7CA0"/>
    <w:rsid w:val="008B011A"/>
    <w:rsid w:val="008B01F2"/>
    <w:rsid w:val="008B0311"/>
    <w:rsid w:val="008B047F"/>
    <w:rsid w:val="008B0498"/>
    <w:rsid w:val="008B05CC"/>
    <w:rsid w:val="008B079D"/>
    <w:rsid w:val="008B07F2"/>
    <w:rsid w:val="008B0B7B"/>
    <w:rsid w:val="008B0D92"/>
    <w:rsid w:val="008B0EF7"/>
    <w:rsid w:val="008B12C2"/>
    <w:rsid w:val="008B1738"/>
    <w:rsid w:val="008B2255"/>
    <w:rsid w:val="008B323B"/>
    <w:rsid w:val="008B32D9"/>
    <w:rsid w:val="008B3579"/>
    <w:rsid w:val="008B3A1B"/>
    <w:rsid w:val="008B3BA6"/>
    <w:rsid w:val="008B453F"/>
    <w:rsid w:val="008B4F67"/>
    <w:rsid w:val="008B562F"/>
    <w:rsid w:val="008B629D"/>
    <w:rsid w:val="008B65E6"/>
    <w:rsid w:val="008B6706"/>
    <w:rsid w:val="008B6759"/>
    <w:rsid w:val="008B68F1"/>
    <w:rsid w:val="008B6D43"/>
    <w:rsid w:val="008B705A"/>
    <w:rsid w:val="008B7B89"/>
    <w:rsid w:val="008B7C41"/>
    <w:rsid w:val="008B7D3E"/>
    <w:rsid w:val="008B7D89"/>
    <w:rsid w:val="008C05BB"/>
    <w:rsid w:val="008C07C6"/>
    <w:rsid w:val="008C0A87"/>
    <w:rsid w:val="008C0B65"/>
    <w:rsid w:val="008C0D87"/>
    <w:rsid w:val="008C1762"/>
    <w:rsid w:val="008C17EE"/>
    <w:rsid w:val="008C182F"/>
    <w:rsid w:val="008C1830"/>
    <w:rsid w:val="008C212B"/>
    <w:rsid w:val="008C2A17"/>
    <w:rsid w:val="008C2AED"/>
    <w:rsid w:val="008C2B31"/>
    <w:rsid w:val="008C32D2"/>
    <w:rsid w:val="008C35AF"/>
    <w:rsid w:val="008C37AC"/>
    <w:rsid w:val="008C3968"/>
    <w:rsid w:val="008C3CA0"/>
    <w:rsid w:val="008C44C3"/>
    <w:rsid w:val="008C4561"/>
    <w:rsid w:val="008C4636"/>
    <w:rsid w:val="008C46B0"/>
    <w:rsid w:val="008C4C03"/>
    <w:rsid w:val="008C4DE4"/>
    <w:rsid w:val="008C529F"/>
    <w:rsid w:val="008C556E"/>
    <w:rsid w:val="008C570C"/>
    <w:rsid w:val="008C5AED"/>
    <w:rsid w:val="008C5F96"/>
    <w:rsid w:val="008C6000"/>
    <w:rsid w:val="008C611F"/>
    <w:rsid w:val="008C634B"/>
    <w:rsid w:val="008C659C"/>
    <w:rsid w:val="008C7B38"/>
    <w:rsid w:val="008C7D44"/>
    <w:rsid w:val="008C7E34"/>
    <w:rsid w:val="008D01C8"/>
    <w:rsid w:val="008D0329"/>
    <w:rsid w:val="008D0CA8"/>
    <w:rsid w:val="008D132A"/>
    <w:rsid w:val="008D1396"/>
    <w:rsid w:val="008D15D2"/>
    <w:rsid w:val="008D17E4"/>
    <w:rsid w:val="008D1AE6"/>
    <w:rsid w:val="008D2308"/>
    <w:rsid w:val="008D2853"/>
    <w:rsid w:val="008D2AC4"/>
    <w:rsid w:val="008D2B66"/>
    <w:rsid w:val="008D2CA7"/>
    <w:rsid w:val="008D2ED8"/>
    <w:rsid w:val="008D3805"/>
    <w:rsid w:val="008D3E34"/>
    <w:rsid w:val="008D3E96"/>
    <w:rsid w:val="008D3FBB"/>
    <w:rsid w:val="008D40A8"/>
    <w:rsid w:val="008D4C58"/>
    <w:rsid w:val="008D5237"/>
    <w:rsid w:val="008D530B"/>
    <w:rsid w:val="008D553D"/>
    <w:rsid w:val="008D5C3F"/>
    <w:rsid w:val="008D6F7B"/>
    <w:rsid w:val="008D734B"/>
    <w:rsid w:val="008D735C"/>
    <w:rsid w:val="008D7841"/>
    <w:rsid w:val="008D791D"/>
    <w:rsid w:val="008D7C74"/>
    <w:rsid w:val="008E0740"/>
    <w:rsid w:val="008E10F9"/>
    <w:rsid w:val="008E16F7"/>
    <w:rsid w:val="008E1B3A"/>
    <w:rsid w:val="008E1C45"/>
    <w:rsid w:val="008E1F61"/>
    <w:rsid w:val="008E2319"/>
    <w:rsid w:val="008E268F"/>
    <w:rsid w:val="008E27C2"/>
    <w:rsid w:val="008E2E06"/>
    <w:rsid w:val="008E2E20"/>
    <w:rsid w:val="008E2F3F"/>
    <w:rsid w:val="008E39C5"/>
    <w:rsid w:val="008E3B50"/>
    <w:rsid w:val="008E3D06"/>
    <w:rsid w:val="008E43D5"/>
    <w:rsid w:val="008E4458"/>
    <w:rsid w:val="008E456D"/>
    <w:rsid w:val="008E463E"/>
    <w:rsid w:val="008E47D3"/>
    <w:rsid w:val="008E4864"/>
    <w:rsid w:val="008E4C2A"/>
    <w:rsid w:val="008E4EA1"/>
    <w:rsid w:val="008E509F"/>
    <w:rsid w:val="008E5205"/>
    <w:rsid w:val="008E552E"/>
    <w:rsid w:val="008E5E34"/>
    <w:rsid w:val="008E5FDD"/>
    <w:rsid w:val="008E639C"/>
    <w:rsid w:val="008E686C"/>
    <w:rsid w:val="008E6AF5"/>
    <w:rsid w:val="008E6F69"/>
    <w:rsid w:val="008E719A"/>
    <w:rsid w:val="008E75A7"/>
    <w:rsid w:val="008E76E0"/>
    <w:rsid w:val="008E7D99"/>
    <w:rsid w:val="008F0552"/>
    <w:rsid w:val="008F0730"/>
    <w:rsid w:val="008F09D1"/>
    <w:rsid w:val="008F09DB"/>
    <w:rsid w:val="008F0B37"/>
    <w:rsid w:val="008F111F"/>
    <w:rsid w:val="008F121A"/>
    <w:rsid w:val="008F177C"/>
    <w:rsid w:val="008F1A4F"/>
    <w:rsid w:val="008F222E"/>
    <w:rsid w:val="008F257D"/>
    <w:rsid w:val="008F26D8"/>
    <w:rsid w:val="008F2964"/>
    <w:rsid w:val="008F2B2F"/>
    <w:rsid w:val="008F2FAE"/>
    <w:rsid w:val="008F2FBB"/>
    <w:rsid w:val="008F314A"/>
    <w:rsid w:val="008F32B5"/>
    <w:rsid w:val="008F3426"/>
    <w:rsid w:val="008F366F"/>
    <w:rsid w:val="008F3C43"/>
    <w:rsid w:val="008F40AC"/>
    <w:rsid w:val="008F419A"/>
    <w:rsid w:val="008F42D7"/>
    <w:rsid w:val="008F4A87"/>
    <w:rsid w:val="008F4D9A"/>
    <w:rsid w:val="008F5D14"/>
    <w:rsid w:val="008F5DB2"/>
    <w:rsid w:val="008F62CE"/>
    <w:rsid w:val="008F63EF"/>
    <w:rsid w:val="008F6C31"/>
    <w:rsid w:val="008F708F"/>
    <w:rsid w:val="008F7C41"/>
    <w:rsid w:val="00900083"/>
    <w:rsid w:val="009001AA"/>
    <w:rsid w:val="00900219"/>
    <w:rsid w:val="00900348"/>
    <w:rsid w:val="0090076F"/>
    <w:rsid w:val="00901040"/>
    <w:rsid w:val="00901A2D"/>
    <w:rsid w:val="00901E2F"/>
    <w:rsid w:val="00901FAF"/>
    <w:rsid w:val="0090219B"/>
    <w:rsid w:val="00902330"/>
    <w:rsid w:val="0090243E"/>
    <w:rsid w:val="009024A5"/>
    <w:rsid w:val="009026E6"/>
    <w:rsid w:val="00902B5C"/>
    <w:rsid w:val="00902D8E"/>
    <w:rsid w:val="0090307A"/>
    <w:rsid w:val="009031A5"/>
    <w:rsid w:val="009036EB"/>
    <w:rsid w:val="00903A3D"/>
    <w:rsid w:val="00903A61"/>
    <w:rsid w:val="00904133"/>
    <w:rsid w:val="009048B7"/>
    <w:rsid w:val="00904984"/>
    <w:rsid w:val="00904B1D"/>
    <w:rsid w:val="00904CF4"/>
    <w:rsid w:val="00905244"/>
    <w:rsid w:val="00905448"/>
    <w:rsid w:val="009054BB"/>
    <w:rsid w:val="00905761"/>
    <w:rsid w:val="00905F1D"/>
    <w:rsid w:val="00906022"/>
    <w:rsid w:val="009060A1"/>
    <w:rsid w:val="009062B1"/>
    <w:rsid w:val="009066C8"/>
    <w:rsid w:val="009068A9"/>
    <w:rsid w:val="00907200"/>
    <w:rsid w:val="00907261"/>
    <w:rsid w:val="00907537"/>
    <w:rsid w:val="009077CB"/>
    <w:rsid w:val="009079BE"/>
    <w:rsid w:val="00907C37"/>
    <w:rsid w:val="00907E92"/>
    <w:rsid w:val="00910E28"/>
    <w:rsid w:val="00911C26"/>
    <w:rsid w:val="0091213B"/>
    <w:rsid w:val="0091218D"/>
    <w:rsid w:val="00912556"/>
    <w:rsid w:val="00912814"/>
    <w:rsid w:val="00912BF9"/>
    <w:rsid w:val="00912C41"/>
    <w:rsid w:val="00912D37"/>
    <w:rsid w:val="00913D03"/>
    <w:rsid w:val="00914044"/>
    <w:rsid w:val="00914717"/>
    <w:rsid w:val="00914D0F"/>
    <w:rsid w:val="00915098"/>
    <w:rsid w:val="00915467"/>
    <w:rsid w:val="0091599A"/>
    <w:rsid w:val="0091605A"/>
    <w:rsid w:val="0091618C"/>
    <w:rsid w:val="009162BD"/>
    <w:rsid w:val="009164F9"/>
    <w:rsid w:val="009165B0"/>
    <w:rsid w:val="0091695A"/>
    <w:rsid w:val="00916EC8"/>
    <w:rsid w:val="00917218"/>
    <w:rsid w:val="009174E7"/>
    <w:rsid w:val="00917C63"/>
    <w:rsid w:val="00917CC9"/>
    <w:rsid w:val="00917E44"/>
    <w:rsid w:val="00920403"/>
    <w:rsid w:val="00920B7D"/>
    <w:rsid w:val="00921293"/>
    <w:rsid w:val="009219C0"/>
    <w:rsid w:val="00921A99"/>
    <w:rsid w:val="00922164"/>
    <w:rsid w:val="00922327"/>
    <w:rsid w:val="00922384"/>
    <w:rsid w:val="00922E0A"/>
    <w:rsid w:val="00923163"/>
    <w:rsid w:val="0092326F"/>
    <w:rsid w:val="009233A6"/>
    <w:rsid w:val="0092347E"/>
    <w:rsid w:val="009236DD"/>
    <w:rsid w:val="00923AD1"/>
    <w:rsid w:val="00923B5E"/>
    <w:rsid w:val="0092428F"/>
    <w:rsid w:val="0092453C"/>
    <w:rsid w:val="009246E2"/>
    <w:rsid w:val="0092539E"/>
    <w:rsid w:val="00925C40"/>
    <w:rsid w:val="00925EFC"/>
    <w:rsid w:val="0092626A"/>
    <w:rsid w:val="0092627D"/>
    <w:rsid w:val="00926AF9"/>
    <w:rsid w:val="00927067"/>
    <w:rsid w:val="00927119"/>
    <w:rsid w:val="00927156"/>
    <w:rsid w:val="00927226"/>
    <w:rsid w:val="0092787F"/>
    <w:rsid w:val="0093023E"/>
    <w:rsid w:val="00930446"/>
    <w:rsid w:val="0093051E"/>
    <w:rsid w:val="00930803"/>
    <w:rsid w:val="00930F54"/>
    <w:rsid w:val="0093149F"/>
    <w:rsid w:val="00931B27"/>
    <w:rsid w:val="00931B32"/>
    <w:rsid w:val="00931BAE"/>
    <w:rsid w:val="00931BE3"/>
    <w:rsid w:val="00932053"/>
    <w:rsid w:val="00932268"/>
    <w:rsid w:val="00932299"/>
    <w:rsid w:val="009327DF"/>
    <w:rsid w:val="00932D29"/>
    <w:rsid w:val="009335B7"/>
    <w:rsid w:val="00933B0A"/>
    <w:rsid w:val="00933B42"/>
    <w:rsid w:val="00933BBB"/>
    <w:rsid w:val="00933C3E"/>
    <w:rsid w:val="00933D3E"/>
    <w:rsid w:val="0093401D"/>
    <w:rsid w:val="00934329"/>
    <w:rsid w:val="009346BD"/>
    <w:rsid w:val="00934C2D"/>
    <w:rsid w:val="00935042"/>
    <w:rsid w:val="009351ED"/>
    <w:rsid w:val="009357C2"/>
    <w:rsid w:val="00935B63"/>
    <w:rsid w:val="00935C35"/>
    <w:rsid w:val="00936352"/>
    <w:rsid w:val="009371C3"/>
    <w:rsid w:val="00937320"/>
    <w:rsid w:val="009375A9"/>
    <w:rsid w:val="009375E0"/>
    <w:rsid w:val="0093798F"/>
    <w:rsid w:val="00937D88"/>
    <w:rsid w:val="00937D89"/>
    <w:rsid w:val="0094005B"/>
    <w:rsid w:val="00940519"/>
    <w:rsid w:val="00940559"/>
    <w:rsid w:val="009408DB"/>
    <w:rsid w:val="009409D5"/>
    <w:rsid w:val="00940A4C"/>
    <w:rsid w:val="00941CDF"/>
    <w:rsid w:val="009420A8"/>
    <w:rsid w:val="00942155"/>
    <w:rsid w:val="009428DA"/>
    <w:rsid w:val="00942CFC"/>
    <w:rsid w:val="00942D41"/>
    <w:rsid w:val="00942D6E"/>
    <w:rsid w:val="00942FD0"/>
    <w:rsid w:val="00943237"/>
    <w:rsid w:val="00943B6F"/>
    <w:rsid w:val="00943B85"/>
    <w:rsid w:val="00943C99"/>
    <w:rsid w:val="00943ECD"/>
    <w:rsid w:val="009445DF"/>
    <w:rsid w:val="0094480F"/>
    <w:rsid w:val="009449E5"/>
    <w:rsid w:val="00945062"/>
    <w:rsid w:val="009450D8"/>
    <w:rsid w:val="00945215"/>
    <w:rsid w:val="00945AEE"/>
    <w:rsid w:val="009462C5"/>
    <w:rsid w:val="009464D0"/>
    <w:rsid w:val="0094674A"/>
    <w:rsid w:val="009469B6"/>
    <w:rsid w:val="00946C49"/>
    <w:rsid w:val="00946D23"/>
    <w:rsid w:val="00947025"/>
    <w:rsid w:val="0094768A"/>
    <w:rsid w:val="0094783E"/>
    <w:rsid w:val="00947DCD"/>
    <w:rsid w:val="00950036"/>
    <w:rsid w:val="00950041"/>
    <w:rsid w:val="0095011B"/>
    <w:rsid w:val="00950320"/>
    <w:rsid w:val="00950B46"/>
    <w:rsid w:val="00950BC6"/>
    <w:rsid w:val="00950F94"/>
    <w:rsid w:val="009512E0"/>
    <w:rsid w:val="009518C1"/>
    <w:rsid w:val="00951A73"/>
    <w:rsid w:val="0095205F"/>
    <w:rsid w:val="00952332"/>
    <w:rsid w:val="00952560"/>
    <w:rsid w:val="00953439"/>
    <w:rsid w:val="00953917"/>
    <w:rsid w:val="00953DDF"/>
    <w:rsid w:val="00953E19"/>
    <w:rsid w:val="00953E7F"/>
    <w:rsid w:val="00953E8A"/>
    <w:rsid w:val="00953F39"/>
    <w:rsid w:val="0095470C"/>
    <w:rsid w:val="009549A1"/>
    <w:rsid w:val="00954B75"/>
    <w:rsid w:val="00954ED1"/>
    <w:rsid w:val="00954FA9"/>
    <w:rsid w:val="00955118"/>
    <w:rsid w:val="0095558C"/>
    <w:rsid w:val="00955B8B"/>
    <w:rsid w:val="00955E8F"/>
    <w:rsid w:val="00956572"/>
    <w:rsid w:val="0095676B"/>
    <w:rsid w:val="00956F6D"/>
    <w:rsid w:val="00957B47"/>
    <w:rsid w:val="00957B60"/>
    <w:rsid w:val="00957DED"/>
    <w:rsid w:val="00960118"/>
    <w:rsid w:val="009601D1"/>
    <w:rsid w:val="009609F3"/>
    <w:rsid w:val="00960ABD"/>
    <w:rsid w:val="00960B81"/>
    <w:rsid w:val="0096106E"/>
    <w:rsid w:val="009613B4"/>
    <w:rsid w:val="00961465"/>
    <w:rsid w:val="009616F1"/>
    <w:rsid w:val="00961930"/>
    <w:rsid w:val="00961A56"/>
    <w:rsid w:val="00961A8B"/>
    <w:rsid w:val="00961BBF"/>
    <w:rsid w:val="00961D7C"/>
    <w:rsid w:val="00961DE0"/>
    <w:rsid w:val="009621BD"/>
    <w:rsid w:val="0096222B"/>
    <w:rsid w:val="00962BCF"/>
    <w:rsid w:val="00962E6E"/>
    <w:rsid w:val="009630D4"/>
    <w:rsid w:val="00963291"/>
    <w:rsid w:val="009632C1"/>
    <w:rsid w:val="0096385E"/>
    <w:rsid w:val="00963A5F"/>
    <w:rsid w:val="00963B47"/>
    <w:rsid w:val="00963B98"/>
    <w:rsid w:val="00964B15"/>
    <w:rsid w:val="00964B78"/>
    <w:rsid w:val="009658D0"/>
    <w:rsid w:val="00965B33"/>
    <w:rsid w:val="0096654F"/>
    <w:rsid w:val="00966B3B"/>
    <w:rsid w:val="00966C94"/>
    <w:rsid w:val="00966F0D"/>
    <w:rsid w:val="009671C6"/>
    <w:rsid w:val="00967357"/>
    <w:rsid w:val="0096750A"/>
    <w:rsid w:val="00967519"/>
    <w:rsid w:val="0096763D"/>
    <w:rsid w:val="009676B6"/>
    <w:rsid w:val="00967818"/>
    <w:rsid w:val="00967B9C"/>
    <w:rsid w:val="00967BAE"/>
    <w:rsid w:val="00967FE6"/>
    <w:rsid w:val="009702DC"/>
    <w:rsid w:val="00970420"/>
    <w:rsid w:val="009707FC"/>
    <w:rsid w:val="00970A66"/>
    <w:rsid w:val="00970B69"/>
    <w:rsid w:val="00970F4D"/>
    <w:rsid w:val="00971626"/>
    <w:rsid w:val="009716D8"/>
    <w:rsid w:val="00971CC5"/>
    <w:rsid w:val="00972C5C"/>
    <w:rsid w:val="00972D2D"/>
    <w:rsid w:val="009731DE"/>
    <w:rsid w:val="00973577"/>
    <w:rsid w:val="00973742"/>
    <w:rsid w:val="00973A19"/>
    <w:rsid w:val="00973C04"/>
    <w:rsid w:val="00973F3E"/>
    <w:rsid w:val="00973FA7"/>
    <w:rsid w:val="00974689"/>
    <w:rsid w:val="009746F8"/>
    <w:rsid w:val="00974820"/>
    <w:rsid w:val="00974C91"/>
    <w:rsid w:val="00974CBE"/>
    <w:rsid w:val="00974FE0"/>
    <w:rsid w:val="009751A4"/>
    <w:rsid w:val="009751C3"/>
    <w:rsid w:val="00975211"/>
    <w:rsid w:val="009758FE"/>
    <w:rsid w:val="0097592E"/>
    <w:rsid w:val="00975BC7"/>
    <w:rsid w:val="00975D03"/>
    <w:rsid w:val="00975F62"/>
    <w:rsid w:val="0097621B"/>
    <w:rsid w:val="00976622"/>
    <w:rsid w:val="00976AA3"/>
    <w:rsid w:val="00976B63"/>
    <w:rsid w:val="00976BE7"/>
    <w:rsid w:val="00976D13"/>
    <w:rsid w:val="009771D4"/>
    <w:rsid w:val="0097753D"/>
    <w:rsid w:val="00977558"/>
    <w:rsid w:val="00977635"/>
    <w:rsid w:val="0097772E"/>
    <w:rsid w:val="009779A2"/>
    <w:rsid w:val="0098003B"/>
    <w:rsid w:val="0098026D"/>
    <w:rsid w:val="00980810"/>
    <w:rsid w:val="0098106F"/>
    <w:rsid w:val="00981466"/>
    <w:rsid w:val="00982095"/>
    <w:rsid w:val="009823C8"/>
    <w:rsid w:val="009828AB"/>
    <w:rsid w:val="00982BB3"/>
    <w:rsid w:val="00982E55"/>
    <w:rsid w:val="0098303A"/>
    <w:rsid w:val="00983403"/>
    <w:rsid w:val="0098361F"/>
    <w:rsid w:val="00983946"/>
    <w:rsid w:val="00983DBB"/>
    <w:rsid w:val="00984090"/>
    <w:rsid w:val="00984257"/>
    <w:rsid w:val="0098459D"/>
    <w:rsid w:val="0098479D"/>
    <w:rsid w:val="00984ACB"/>
    <w:rsid w:val="00984DE0"/>
    <w:rsid w:val="00984DEE"/>
    <w:rsid w:val="009851DD"/>
    <w:rsid w:val="009859A9"/>
    <w:rsid w:val="00985A3B"/>
    <w:rsid w:val="00985DD6"/>
    <w:rsid w:val="009861F7"/>
    <w:rsid w:val="0098664F"/>
    <w:rsid w:val="00986E89"/>
    <w:rsid w:val="00987472"/>
    <w:rsid w:val="00987503"/>
    <w:rsid w:val="00987E20"/>
    <w:rsid w:val="00987E82"/>
    <w:rsid w:val="0099093E"/>
    <w:rsid w:val="00991179"/>
    <w:rsid w:val="009918C7"/>
    <w:rsid w:val="0099194B"/>
    <w:rsid w:val="00991E40"/>
    <w:rsid w:val="0099203E"/>
    <w:rsid w:val="009920A5"/>
    <w:rsid w:val="009923F1"/>
    <w:rsid w:val="0099245D"/>
    <w:rsid w:val="00992AAF"/>
    <w:rsid w:val="00992B2E"/>
    <w:rsid w:val="00992BA8"/>
    <w:rsid w:val="00992CFE"/>
    <w:rsid w:val="009932D0"/>
    <w:rsid w:val="009937DE"/>
    <w:rsid w:val="00993A7A"/>
    <w:rsid w:val="00993D3D"/>
    <w:rsid w:val="00993DF7"/>
    <w:rsid w:val="00993E97"/>
    <w:rsid w:val="009942D1"/>
    <w:rsid w:val="0099449C"/>
    <w:rsid w:val="00994822"/>
    <w:rsid w:val="00994B37"/>
    <w:rsid w:val="0099508E"/>
    <w:rsid w:val="009950C6"/>
    <w:rsid w:val="0099552B"/>
    <w:rsid w:val="0099576B"/>
    <w:rsid w:val="00995BA7"/>
    <w:rsid w:val="00995C23"/>
    <w:rsid w:val="00995D63"/>
    <w:rsid w:val="00995F61"/>
    <w:rsid w:val="00995F79"/>
    <w:rsid w:val="009960B7"/>
    <w:rsid w:val="009961AD"/>
    <w:rsid w:val="009964ED"/>
    <w:rsid w:val="0099650F"/>
    <w:rsid w:val="00996A80"/>
    <w:rsid w:val="00996DB1"/>
    <w:rsid w:val="00997146"/>
    <w:rsid w:val="009972C2"/>
    <w:rsid w:val="009973C7"/>
    <w:rsid w:val="00997E5A"/>
    <w:rsid w:val="009A01A0"/>
    <w:rsid w:val="009A0933"/>
    <w:rsid w:val="009A0957"/>
    <w:rsid w:val="009A0B3C"/>
    <w:rsid w:val="009A0FEC"/>
    <w:rsid w:val="009A1085"/>
    <w:rsid w:val="009A15B8"/>
    <w:rsid w:val="009A16F2"/>
    <w:rsid w:val="009A1729"/>
    <w:rsid w:val="009A179B"/>
    <w:rsid w:val="009A1AAD"/>
    <w:rsid w:val="009A2295"/>
    <w:rsid w:val="009A2B18"/>
    <w:rsid w:val="009A2DB9"/>
    <w:rsid w:val="009A3130"/>
    <w:rsid w:val="009A3180"/>
    <w:rsid w:val="009A3300"/>
    <w:rsid w:val="009A342A"/>
    <w:rsid w:val="009A377F"/>
    <w:rsid w:val="009A399B"/>
    <w:rsid w:val="009A3E72"/>
    <w:rsid w:val="009A40BD"/>
    <w:rsid w:val="009A4464"/>
    <w:rsid w:val="009A47E3"/>
    <w:rsid w:val="009A4CDB"/>
    <w:rsid w:val="009A53E4"/>
    <w:rsid w:val="009A5683"/>
    <w:rsid w:val="009A5718"/>
    <w:rsid w:val="009A57FE"/>
    <w:rsid w:val="009A5949"/>
    <w:rsid w:val="009A59B0"/>
    <w:rsid w:val="009A5B29"/>
    <w:rsid w:val="009A63A4"/>
    <w:rsid w:val="009A6A90"/>
    <w:rsid w:val="009A70AF"/>
    <w:rsid w:val="009A73E0"/>
    <w:rsid w:val="009A7493"/>
    <w:rsid w:val="009A7925"/>
    <w:rsid w:val="009A7931"/>
    <w:rsid w:val="009A7AD1"/>
    <w:rsid w:val="009B01D2"/>
    <w:rsid w:val="009B0719"/>
    <w:rsid w:val="009B09E0"/>
    <w:rsid w:val="009B0A4D"/>
    <w:rsid w:val="009B0CC5"/>
    <w:rsid w:val="009B1213"/>
    <w:rsid w:val="009B1631"/>
    <w:rsid w:val="009B19CB"/>
    <w:rsid w:val="009B1A13"/>
    <w:rsid w:val="009B1C21"/>
    <w:rsid w:val="009B2358"/>
    <w:rsid w:val="009B254E"/>
    <w:rsid w:val="009B2855"/>
    <w:rsid w:val="009B2A6E"/>
    <w:rsid w:val="009B339B"/>
    <w:rsid w:val="009B36ED"/>
    <w:rsid w:val="009B39E3"/>
    <w:rsid w:val="009B3A91"/>
    <w:rsid w:val="009B3BD6"/>
    <w:rsid w:val="009B3C22"/>
    <w:rsid w:val="009B3DB6"/>
    <w:rsid w:val="009B413F"/>
    <w:rsid w:val="009B41D9"/>
    <w:rsid w:val="009B429C"/>
    <w:rsid w:val="009B437C"/>
    <w:rsid w:val="009B4797"/>
    <w:rsid w:val="009B5159"/>
    <w:rsid w:val="009B5A38"/>
    <w:rsid w:val="009B5A96"/>
    <w:rsid w:val="009B5BF8"/>
    <w:rsid w:val="009B5C92"/>
    <w:rsid w:val="009B5DA9"/>
    <w:rsid w:val="009B6562"/>
    <w:rsid w:val="009B66D1"/>
    <w:rsid w:val="009B68FA"/>
    <w:rsid w:val="009B701C"/>
    <w:rsid w:val="009B74CD"/>
    <w:rsid w:val="009B77EC"/>
    <w:rsid w:val="009B781C"/>
    <w:rsid w:val="009B78D0"/>
    <w:rsid w:val="009B7AC3"/>
    <w:rsid w:val="009B7E27"/>
    <w:rsid w:val="009C0018"/>
    <w:rsid w:val="009C0CEA"/>
    <w:rsid w:val="009C0F40"/>
    <w:rsid w:val="009C12DD"/>
    <w:rsid w:val="009C135B"/>
    <w:rsid w:val="009C15A8"/>
    <w:rsid w:val="009C16ED"/>
    <w:rsid w:val="009C1C54"/>
    <w:rsid w:val="009C1FAE"/>
    <w:rsid w:val="009C2327"/>
    <w:rsid w:val="009C258E"/>
    <w:rsid w:val="009C2B2C"/>
    <w:rsid w:val="009C3061"/>
    <w:rsid w:val="009C3C12"/>
    <w:rsid w:val="009C3D5F"/>
    <w:rsid w:val="009C3E85"/>
    <w:rsid w:val="009C3F31"/>
    <w:rsid w:val="009C43AD"/>
    <w:rsid w:val="009C43B2"/>
    <w:rsid w:val="009C4887"/>
    <w:rsid w:val="009C5008"/>
    <w:rsid w:val="009C503F"/>
    <w:rsid w:val="009C51F3"/>
    <w:rsid w:val="009C56FA"/>
    <w:rsid w:val="009C5833"/>
    <w:rsid w:val="009C5957"/>
    <w:rsid w:val="009C610B"/>
    <w:rsid w:val="009C6720"/>
    <w:rsid w:val="009C73B4"/>
    <w:rsid w:val="009C74EF"/>
    <w:rsid w:val="009C7B98"/>
    <w:rsid w:val="009C7C19"/>
    <w:rsid w:val="009C7C3E"/>
    <w:rsid w:val="009C7D01"/>
    <w:rsid w:val="009D083E"/>
    <w:rsid w:val="009D08AB"/>
    <w:rsid w:val="009D0A79"/>
    <w:rsid w:val="009D0C46"/>
    <w:rsid w:val="009D0DC9"/>
    <w:rsid w:val="009D1045"/>
    <w:rsid w:val="009D15B9"/>
    <w:rsid w:val="009D197F"/>
    <w:rsid w:val="009D1BA6"/>
    <w:rsid w:val="009D1BB9"/>
    <w:rsid w:val="009D2582"/>
    <w:rsid w:val="009D2708"/>
    <w:rsid w:val="009D2729"/>
    <w:rsid w:val="009D27F8"/>
    <w:rsid w:val="009D283B"/>
    <w:rsid w:val="009D2CDE"/>
    <w:rsid w:val="009D3166"/>
    <w:rsid w:val="009D317C"/>
    <w:rsid w:val="009D34D2"/>
    <w:rsid w:val="009D371D"/>
    <w:rsid w:val="009D3E01"/>
    <w:rsid w:val="009D3E8F"/>
    <w:rsid w:val="009D4083"/>
    <w:rsid w:val="009D44CF"/>
    <w:rsid w:val="009D4892"/>
    <w:rsid w:val="009D4941"/>
    <w:rsid w:val="009D4A9A"/>
    <w:rsid w:val="009D4BAE"/>
    <w:rsid w:val="009D4BFB"/>
    <w:rsid w:val="009D564B"/>
    <w:rsid w:val="009D579C"/>
    <w:rsid w:val="009D57B3"/>
    <w:rsid w:val="009D57CB"/>
    <w:rsid w:val="009D5927"/>
    <w:rsid w:val="009D5AA6"/>
    <w:rsid w:val="009D5B7E"/>
    <w:rsid w:val="009D5FBB"/>
    <w:rsid w:val="009D6100"/>
    <w:rsid w:val="009D6473"/>
    <w:rsid w:val="009D68ED"/>
    <w:rsid w:val="009D6CE5"/>
    <w:rsid w:val="009D6D08"/>
    <w:rsid w:val="009D6E0C"/>
    <w:rsid w:val="009D70A8"/>
    <w:rsid w:val="009D71E9"/>
    <w:rsid w:val="009D730E"/>
    <w:rsid w:val="009D739B"/>
    <w:rsid w:val="009D75CF"/>
    <w:rsid w:val="009D7603"/>
    <w:rsid w:val="009D78C3"/>
    <w:rsid w:val="009D7BC3"/>
    <w:rsid w:val="009D7D77"/>
    <w:rsid w:val="009E0102"/>
    <w:rsid w:val="009E02B1"/>
    <w:rsid w:val="009E0732"/>
    <w:rsid w:val="009E08BD"/>
    <w:rsid w:val="009E0CFF"/>
    <w:rsid w:val="009E1088"/>
    <w:rsid w:val="009E10DF"/>
    <w:rsid w:val="009E1597"/>
    <w:rsid w:val="009E1BDB"/>
    <w:rsid w:val="009E20E3"/>
    <w:rsid w:val="009E2281"/>
    <w:rsid w:val="009E24E8"/>
    <w:rsid w:val="009E2C43"/>
    <w:rsid w:val="009E2EC4"/>
    <w:rsid w:val="009E2F7F"/>
    <w:rsid w:val="009E32AA"/>
    <w:rsid w:val="009E3618"/>
    <w:rsid w:val="009E36F3"/>
    <w:rsid w:val="009E387A"/>
    <w:rsid w:val="009E3CBE"/>
    <w:rsid w:val="009E3CD5"/>
    <w:rsid w:val="009E43BA"/>
    <w:rsid w:val="009E441B"/>
    <w:rsid w:val="009E4739"/>
    <w:rsid w:val="009E4B8E"/>
    <w:rsid w:val="009E4CE7"/>
    <w:rsid w:val="009E4F88"/>
    <w:rsid w:val="009E512F"/>
    <w:rsid w:val="009E55DF"/>
    <w:rsid w:val="009E5B6D"/>
    <w:rsid w:val="009E6113"/>
    <w:rsid w:val="009E6116"/>
    <w:rsid w:val="009E6160"/>
    <w:rsid w:val="009E6314"/>
    <w:rsid w:val="009E6871"/>
    <w:rsid w:val="009E68A9"/>
    <w:rsid w:val="009E7630"/>
    <w:rsid w:val="009E7AA3"/>
    <w:rsid w:val="009F0074"/>
    <w:rsid w:val="009F020B"/>
    <w:rsid w:val="009F0241"/>
    <w:rsid w:val="009F0547"/>
    <w:rsid w:val="009F0550"/>
    <w:rsid w:val="009F06F7"/>
    <w:rsid w:val="009F0AEE"/>
    <w:rsid w:val="009F1061"/>
    <w:rsid w:val="009F1C42"/>
    <w:rsid w:val="009F2308"/>
    <w:rsid w:val="009F2485"/>
    <w:rsid w:val="009F267B"/>
    <w:rsid w:val="009F2A4C"/>
    <w:rsid w:val="009F3114"/>
    <w:rsid w:val="009F396E"/>
    <w:rsid w:val="009F3A4D"/>
    <w:rsid w:val="009F4098"/>
    <w:rsid w:val="009F415F"/>
    <w:rsid w:val="009F41B8"/>
    <w:rsid w:val="009F4425"/>
    <w:rsid w:val="009F4451"/>
    <w:rsid w:val="009F4778"/>
    <w:rsid w:val="009F4BA5"/>
    <w:rsid w:val="009F4EA9"/>
    <w:rsid w:val="009F4EFB"/>
    <w:rsid w:val="009F51F6"/>
    <w:rsid w:val="009F5296"/>
    <w:rsid w:val="009F5621"/>
    <w:rsid w:val="009F5B73"/>
    <w:rsid w:val="009F60B9"/>
    <w:rsid w:val="009F6189"/>
    <w:rsid w:val="009F65D5"/>
    <w:rsid w:val="009F6ABF"/>
    <w:rsid w:val="009F728C"/>
    <w:rsid w:val="00A002F5"/>
    <w:rsid w:val="00A0077C"/>
    <w:rsid w:val="00A00A43"/>
    <w:rsid w:val="00A00A9E"/>
    <w:rsid w:val="00A01BE5"/>
    <w:rsid w:val="00A01DF1"/>
    <w:rsid w:val="00A02483"/>
    <w:rsid w:val="00A034B4"/>
    <w:rsid w:val="00A035BF"/>
    <w:rsid w:val="00A035C0"/>
    <w:rsid w:val="00A036AD"/>
    <w:rsid w:val="00A0383D"/>
    <w:rsid w:val="00A03984"/>
    <w:rsid w:val="00A03CD7"/>
    <w:rsid w:val="00A040C8"/>
    <w:rsid w:val="00A04144"/>
    <w:rsid w:val="00A043FD"/>
    <w:rsid w:val="00A04E2D"/>
    <w:rsid w:val="00A04FC7"/>
    <w:rsid w:val="00A05071"/>
    <w:rsid w:val="00A05295"/>
    <w:rsid w:val="00A05336"/>
    <w:rsid w:val="00A05442"/>
    <w:rsid w:val="00A05725"/>
    <w:rsid w:val="00A05A50"/>
    <w:rsid w:val="00A05C21"/>
    <w:rsid w:val="00A05D34"/>
    <w:rsid w:val="00A06242"/>
    <w:rsid w:val="00A06448"/>
    <w:rsid w:val="00A0650C"/>
    <w:rsid w:val="00A06F63"/>
    <w:rsid w:val="00A07966"/>
    <w:rsid w:val="00A07DBD"/>
    <w:rsid w:val="00A07F16"/>
    <w:rsid w:val="00A10038"/>
    <w:rsid w:val="00A10619"/>
    <w:rsid w:val="00A1187C"/>
    <w:rsid w:val="00A11962"/>
    <w:rsid w:val="00A11A90"/>
    <w:rsid w:val="00A122D3"/>
    <w:rsid w:val="00A12811"/>
    <w:rsid w:val="00A129C6"/>
    <w:rsid w:val="00A12A05"/>
    <w:rsid w:val="00A12E5D"/>
    <w:rsid w:val="00A13277"/>
    <w:rsid w:val="00A13388"/>
    <w:rsid w:val="00A137E5"/>
    <w:rsid w:val="00A13B53"/>
    <w:rsid w:val="00A13CC0"/>
    <w:rsid w:val="00A13E68"/>
    <w:rsid w:val="00A15151"/>
    <w:rsid w:val="00A15433"/>
    <w:rsid w:val="00A15730"/>
    <w:rsid w:val="00A15839"/>
    <w:rsid w:val="00A15BFD"/>
    <w:rsid w:val="00A15E20"/>
    <w:rsid w:val="00A1615E"/>
    <w:rsid w:val="00A16188"/>
    <w:rsid w:val="00A167AB"/>
    <w:rsid w:val="00A16840"/>
    <w:rsid w:val="00A169B0"/>
    <w:rsid w:val="00A169BC"/>
    <w:rsid w:val="00A16A79"/>
    <w:rsid w:val="00A16A84"/>
    <w:rsid w:val="00A17192"/>
    <w:rsid w:val="00A1771F"/>
    <w:rsid w:val="00A17776"/>
    <w:rsid w:val="00A17936"/>
    <w:rsid w:val="00A17CA6"/>
    <w:rsid w:val="00A17D6C"/>
    <w:rsid w:val="00A17E1B"/>
    <w:rsid w:val="00A17FE1"/>
    <w:rsid w:val="00A20419"/>
    <w:rsid w:val="00A2109D"/>
    <w:rsid w:val="00A2143D"/>
    <w:rsid w:val="00A214FA"/>
    <w:rsid w:val="00A21554"/>
    <w:rsid w:val="00A21EAF"/>
    <w:rsid w:val="00A21F19"/>
    <w:rsid w:val="00A22013"/>
    <w:rsid w:val="00A222DF"/>
    <w:rsid w:val="00A223DF"/>
    <w:rsid w:val="00A227FA"/>
    <w:rsid w:val="00A22E86"/>
    <w:rsid w:val="00A22FF0"/>
    <w:rsid w:val="00A23A07"/>
    <w:rsid w:val="00A23AE9"/>
    <w:rsid w:val="00A23FBA"/>
    <w:rsid w:val="00A240DA"/>
    <w:rsid w:val="00A242B3"/>
    <w:rsid w:val="00A242EC"/>
    <w:rsid w:val="00A24612"/>
    <w:rsid w:val="00A2462C"/>
    <w:rsid w:val="00A2477A"/>
    <w:rsid w:val="00A24881"/>
    <w:rsid w:val="00A248F9"/>
    <w:rsid w:val="00A254C2"/>
    <w:rsid w:val="00A25513"/>
    <w:rsid w:val="00A258CD"/>
    <w:rsid w:val="00A261AE"/>
    <w:rsid w:val="00A264BB"/>
    <w:rsid w:val="00A264C5"/>
    <w:rsid w:val="00A2683B"/>
    <w:rsid w:val="00A26EA2"/>
    <w:rsid w:val="00A27088"/>
    <w:rsid w:val="00A272AC"/>
    <w:rsid w:val="00A27368"/>
    <w:rsid w:val="00A275DC"/>
    <w:rsid w:val="00A27827"/>
    <w:rsid w:val="00A27987"/>
    <w:rsid w:val="00A27A8F"/>
    <w:rsid w:val="00A27CD8"/>
    <w:rsid w:val="00A27FAB"/>
    <w:rsid w:val="00A30EFC"/>
    <w:rsid w:val="00A30F0C"/>
    <w:rsid w:val="00A31114"/>
    <w:rsid w:val="00A31206"/>
    <w:rsid w:val="00A31213"/>
    <w:rsid w:val="00A3153C"/>
    <w:rsid w:val="00A31703"/>
    <w:rsid w:val="00A3184C"/>
    <w:rsid w:val="00A322E4"/>
    <w:rsid w:val="00A32335"/>
    <w:rsid w:val="00A32A0E"/>
    <w:rsid w:val="00A32ADA"/>
    <w:rsid w:val="00A32F4E"/>
    <w:rsid w:val="00A33B23"/>
    <w:rsid w:val="00A33FA3"/>
    <w:rsid w:val="00A34178"/>
    <w:rsid w:val="00A34558"/>
    <w:rsid w:val="00A346B8"/>
    <w:rsid w:val="00A34910"/>
    <w:rsid w:val="00A3495A"/>
    <w:rsid w:val="00A34C9D"/>
    <w:rsid w:val="00A34CB1"/>
    <w:rsid w:val="00A34ECF"/>
    <w:rsid w:val="00A34F3E"/>
    <w:rsid w:val="00A355DB"/>
    <w:rsid w:val="00A35928"/>
    <w:rsid w:val="00A367F8"/>
    <w:rsid w:val="00A3688E"/>
    <w:rsid w:val="00A36AB8"/>
    <w:rsid w:val="00A36C94"/>
    <w:rsid w:val="00A36FB7"/>
    <w:rsid w:val="00A37198"/>
    <w:rsid w:val="00A372AE"/>
    <w:rsid w:val="00A377D1"/>
    <w:rsid w:val="00A37989"/>
    <w:rsid w:val="00A37CC7"/>
    <w:rsid w:val="00A37E8D"/>
    <w:rsid w:val="00A37EB0"/>
    <w:rsid w:val="00A405A0"/>
    <w:rsid w:val="00A409F1"/>
    <w:rsid w:val="00A40A3F"/>
    <w:rsid w:val="00A41038"/>
    <w:rsid w:val="00A41DC2"/>
    <w:rsid w:val="00A422C2"/>
    <w:rsid w:val="00A4235E"/>
    <w:rsid w:val="00A42685"/>
    <w:rsid w:val="00A42704"/>
    <w:rsid w:val="00A42B86"/>
    <w:rsid w:val="00A42E56"/>
    <w:rsid w:val="00A42F46"/>
    <w:rsid w:val="00A43885"/>
    <w:rsid w:val="00A43A8A"/>
    <w:rsid w:val="00A43BF9"/>
    <w:rsid w:val="00A441D8"/>
    <w:rsid w:val="00A442AD"/>
    <w:rsid w:val="00A44429"/>
    <w:rsid w:val="00A446E2"/>
    <w:rsid w:val="00A44822"/>
    <w:rsid w:val="00A448F9"/>
    <w:rsid w:val="00A44990"/>
    <w:rsid w:val="00A451BB"/>
    <w:rsid w:val="00A453A4"/>
    <w:rsid w:val="00A45835"/>
    <w:rsid w:val="00A459BA"/>
    <w:rsid w:val="00A46704"/>
    <w:rsid w:val="00A468A6"/>
    <w:rsid w:val="00A468BC"/>
    <w:rsid w:val="00A46DEA"/>
    <w:rsid w:val="00A47B15"/>
    <w:rsid w:val="00A50374"/>
    <w:rsid w:val="00A5043B"/>
    <w:rsid w:val="00A5050E"/>
    <w:rsid w:val="00A50765"/>
    <w:rsid w:val="00A507B0"/>
    <w:rsid w:val="00A509CC"/>
    <w:rsid w:val="00A511F9"/>
    <w:rsid w:val="00A51DD2"/>
    <w:rsid w:val="00A51E8E"/>
    <w:rsid w:val="00A5208E"/>
    <w:rsid w:val="00A522D6"/>
    <w:rsid w:val="00A52745"/>
    <w:rsid w:val="00A528F1"/>
    <w:rsid w:val="00A529B4"/>
    <w:rsid w:val="00A52C86"/>
    <w:rsid w:val="00A52D08"/>
    <w:rsid w:val="00A52DBF"/>
    <w:rsid w:val="00A52E64"/>
    <w:rsid w:val="00A5383C"/>
    <w:rsid w:val="00A53A23"/>
    <w:rsid w:val="00A53CB5"/>
    <w:rsid w:val="00A53D85"/>
    <w:rsid w:val="00A53F99"/>
    <w:rsid w:val="00A53FA9"/>
    <w:rsid w:val="00A54DD0"/>
    <w:rsid w:val="00A54F9B"/>
    <w:rsid w:val="00A54FC7"/>
    <w:rsid w:val="00A550F1"/>
    <w:rsid w:val="00A55197"/>
    <w:rsid w:val="00A551FB"/>
    <w:rsid w:val="00A55209"/>
    <w:rsid w:val="00A55332"/>
    <w:rsid w:val="00A559FF"/>
    <w:rsid w:val="00A55B55"/>
    <w:rsid w:val="00A55BE6"/>
    <w:rsid w:val="00A564DA"/>
    <w:rsid w:val="00A5652E"/>
    <w:rsid w:val="00A565DC"/>
    <w:rsid w:val="00A565DD"/>
    <w:rsid w:val="00A56AB0"/>
    <w:rsid w:val="00A56AEB"/>
    <w:rsid w:val="00A56C93"/>
    <w:rsid w:val="00A56EF8"/>
    <w:rsid w:val="00A5709B"/>
    <w:rsid w:val="00A570C0"/>
    <w:rsid w:val="00A57316"/>
    <w:rsid w:val="00A5789D"/>
    <w:rsid w:val="00A60F16"/>
    <w:rsid w:val="00A60F53"/>
    <w:rsid w:val="00A610AE"/>
    <w:rsid w:val="00A618F6"/>
    <w:rsid w:val="00A61FF0"/>
    <w:rsid w:val="00A62160"/>
    <w:rsid w:val="00A629D7"/>
    <w:rsid w:val="00A62A1E"/>
    <w:rsid w:val="00A62DA9"/>
    <w:rsid w:val="00A630C7"/>
    <w:rsid w:val="00A633BC"/>
    <w:rsid w:val="00A633BF"/>
    <w:rsid w:val="00A63E71"/>
    <w:rsid w:val="00A64078"/>
    <w:rsid w:val="00A6408B"/>
    <w:rsid w:val="00A640D5"/>
    <w:rsid w:val="00A64256"/>
    <w:rsid w:val="00A64538"/>
    <w:rsid w:val="00A6484E"/>
    <w:rsid w:val="00A64876"/>
    <w:rsid w:val="00A64A7A"/>
    <w:rsid w:val="00A64AE8"/>
    <w:rsid w:val="00A64BC6"/>
    <w:rsid w:val="00A65777"/>
    <w:rsid w:val="00A6587E"/>
    <w:rsid w:val="00A65883"/>
    <w:rsid w:val="00A659D5"/>
    <w:rsid w:val="00A65DAD"/>
    <w:rsid w:val="00A65F84"/>
    <w:rsid w:val="00A661C6"/>
    <w:rsid w:val="00A66865"/>
    <w:rsid w:val="00A669E2"/>
    <w:rsid w:val="00A66A0A"/>
    <w:rsid w:val="00A66BDD"/>
    <w:rsid w:val="00A6709F"/>
    <w:rsid w:val="00A671CF"/>
    <w:rsid w:val="00A67E5D"/>
    <w:rsid w:val="00A67EED"/>
    <w:rsid w:val="00A67FAD"/>
    <w:rsid w:val="00A7030D"/>
    <w:rsid w:val="00A70384"/>
    <w:rsid w:val="00A70663"/>
    <w:rsid w:val="00A70ACA"/>
    <w:rsid w:val="00A71086"/>
    <w:rsid w:val="00A71A3B"/>
    <w:rsid w:val="00A71B2E"/>
    <w:rsid w:val="00A71B5D"/>
    <w:rsid w:val="00A71E82"/>
    <w:rsid w:val="00A71E93"/>
    <w:rsid w:val="00A72009"/>
    <w:rsid w:val="00A72065"/>
    <w:rsid w:val="00A72534"/>
    <w:rsid w:val="00A72BE7"/>
    <w:rsid w:val="00A72CCB"/>
    <w:rsid w:val="00A732DA"/>
    <w:rsid w:val="00A73426"/>
    <w:rsid w:val="00A73451"/>
    <w:rsid w:val="00A737DC"/>
    <w:rsid w:val="00A739BA"/>
    <w:rsid w:val="00A73B1F"/>
    <w:rsid w:val="00A73C36"/>
    <w:rsid w:val="00A743C0"/>
    <w:rsid w:val="00A744CD"/>
    <w:rsid w:val="00A74864"/>
    <w:rsid w:val="00A74A6F"/>
    <w:rsid w:val="00A74BE5"/>
    <w:rsid w:val="00A74E47"/>
    <w:rsid w:val="00A74F2D"/>
    <w:rsid w:val="00A754C0"/>
    <w:rsid w:val="00A75531"/>
    <w:rsid w:val="00A75CED"/>
    <w:rsid w:val="00A75D8B"/>
    <w:rsid w:val="00A762BD"/>
    <w:rsid w:val="00A7646E"/>
    <w:rsid w:val="00A765BF"/>
    <w:rsid w:val="00A765EA"/>
    <w:rsid w:val="00A76623"/>
    <w:rsid w:val="00A7673A"/>
    <w:rsid w:val="00A76837"/>
    <w:rsid w:val="00A76A23"/>
    <w:rsid w:val="00A76C3D"/>
    <w:rsid w:val="00A76D82"/>
    <w:rsid w:val="00A7711A"/>
    <w:rsid w:val="00A77B3C"/>
    <w:rsid w:val="00A77C4A"/>
    <w:rsid w:val="00A800E0"/>
    <w:rsid w:val="00A80B28"/>
    <w:rsid w:val="00A80C48"/>
    <w:rsid w:val="00A80F3C"/>
    <w:rsid w:val="00A81137"/>
    <w:rsid w:val="00A8115F"/>
    <w:rsid w:val="00A816D5"/>
    <w:rsid w:val="00A81785"/>
    <w:rsid w:val="00A8192E"/>
    <w:rsid w:val="00A81B91"/>
    <w:rsid w:val="00A81EB0"/>
    <w:rsid w:val="00A8269B"/>
    <w:rsid w:val="00A8295D"/>
    <w:rsid w:val="00A82C32"/>
    <w:rsid w:val="00A82D28"/>
    <w:rsid w:val="00A83562"/>
    <w:rsid w:val="00A835B8"/>
    <w:rsid w:val="00A836FA"/>
    <w:rsid w:val="00A8370E"/>
    <w:rsid w:val="00A83B3A"/>
    <w:rsid w:val="00A83B7F"/>
    <w:rsid w:val="00A84358"/>
    <w:rsid w:val="00A84A11"/>
    <w:rsid w:val="00A84C74"/>
    <w:rsid w:val="00A854D8"/>
    <w:rsid w:val="00A8555F"/>
    <w:rsid w:val="00A855B4"/>
    <w:rsid w:val="00A85807"/>
    <w:rsid w:val="00A859A8"/>
    <w:rsid w:val="00A85BA9"/>
    <w:rsid w:val="00A85C69"/>
    <w:rsid w:val="00A85DFA"/>
    <w:rsid w:val="00A86F4B"/>
    <w:rsid w:val="00A87A21"/>
    <w:rsid w:val="00A87AE4"/>
    <w:rsid w:val="00A87D23"/>
    <w:rsid w:val="00A87FC0"/>
    <w:rsid w:val="00A9020D"/>
    <w:rsid w:val="00A90621"/>
    <w:rsid w:val="00A9087C"/>
    <w:rsid w:val="00A90906"/>
    <w:rsid w:val="00A90BED"/>
    <w:rsid w:val="00A918D7"/>
    <w:rsid w:val="00A91930"/>
    <w:rsid w:val="00A91C78"/>
    <w:rsid w:val="00A91CB0"/>
    <w:rsid w:val="00A92421"/>
    <w:rsid w:val="00A92747"/>
    <w:rsid w:val="00A930AE"/>
    <w:rsid w:val="00A935F4"/>
    <w:rsid w:val="00A936B9"/>
    <w:rsid w:val="00A938E3"/>
    <w:rsid w:val="00A93AB3"/>
    <w:rsid w:val="00A93D22"/>
    <w:rsid w:val="00A94503"/>
    <w:rsid w:val="00A94CE0"/>
    <w:rsid w:val="00A95149"/>
    <w:rsid w:val="00A951C5"/>
    <w:rsid w:val="00A954C8"/>
    <w:rsid w:val="00A956E7"/>
    <w:rsid w:val="00A95867"/>
    <w:rsid w:val="00A95EDA"/>
    <w:rsid w:val="00A96289"/>
    <w:rsid w:val="00A96408"/>
    <w:rsid w:val="00A96A04"/>
    <w:rsid w:val="00A96CAF"/>
    <w:rsid w:val="00A96D7C"/>
    <w:rsid w:val="00A96E6F"/>
    <w:rsid w:val="00A96E74"/>
    <w:rsid w:val="00A96EC4"/>
    <w:rsid w:val="00A96FF5"/>
    <w:rsid w:val="00A9717F"/>
    <w:rsid w:val="00A97762"/>
    <w:rsid w:val="00A97797"/>
    <w:rsid w:val="00A97836"/>
    <w:rsid w:val="00A97DAD"/>
    <w:rsid w:val="00A97FFB"/>
    <w:rsid w:val="00AA08A4"/>
    <w:rsid w:val="00AA10F4"/>
    <w:rsid w:val="00AA12B8"/>
    <w:rsid w:val="00AA1649"/>
    <w:rsid w:val="00AA17F4"/>
    <w:rsid w:val="00AA1875"/>
    <w:rsid w:val="00AA1944"/>
    <w:rsid w:val="00AA1E11"/>
    <w:rsid w:val="00AA1F19"/>
    <w:rsid w:val="00AA27E8"/>
    <w:rsid w:val="00AA2A9C"/>
    <w:rsid w:val="00AA2B0D"/>
    <w:rsid w:val="00AA2C03"/>
    <w:rsid w:val="00AA2C6A"/>
    <w:rsid w:val="00AA2E2F"/>
    <w:rsid w:val="00AA2EE3"/>
    <w:rsid w:val="00AA38EF"/>
    <w:rsid w:val="00AA394C"/>
    <w:rsid w:val="00AA3BD5"/>
    <w:rsid w:val="00AA3DFF"/>
    <w:rsid w:val="00AA3F0C"/>
    <w:rsid w:val="00AA41B8"/>
    <w:rsid w:val="00AA4302"/>
    <w:rsid w:val="00AA4BD2"/>
    <w:rsid w:val="00AA4E4B"/>
    <w:rsid w:val="00AA51DC"/>
    <w:rsid w:val="00AA5228"/>
    <w:rsid w:val="00AA5295"/>
    <w:rsid w:val="00AA58EF"/>
    <w:rsid w:val="00AA5A7E"/>
    <w:rsid w:val="00AA5AF1"/>
    <w:rsid w:val="00AA5F22"/>
    <w:rsid w:val="00AA65AC"/>
    <w:rsid w:val="00AA6635"/>
    <w:rsid w:val="00AA6972"/>
    <w:rsid w:val="00AA74BC"/>
    <w:rsid w:val="00AA766C"/>
    <w:rsid w:val="00AA76C1"/>
    <w:rsid w:val="00AA79D9"/>
    <w:rsid w:val="00AA7BF9"/>
    <w:rsid w:val="00AA7CBE"/>
    <w:rsid w:val="00AA7ED5"/>
    <w:rsid w:val="00AB00B2"/>
    <w:rsid w:val="00AB0674"/>
    <w:rsid w:val="00AB06CE"/>
    <w:rsid w:val="00AB0DA1"/>
    <w:rsid w:val="00AB14F1"/>
    <w:rsid w:val="00AB1597"/>
    <w:rsid w:val="00AB1B6F"/>
    <w:rsid w:val="00AB1C7A"/>
    <w:rsid w:val="00AB1E02"/>
    <w:rsid w:val="00AB21B0"/>
    <w:rsid w:val="00AB288D"/>
    <w:rsid w:val="00AB28CD"/>
    <w:rsid w:val="00AB2CEA"/>
    <w:rsid w:val="00AB30F7"/>
    <w:rsid w:val="00AB310F"/>
    <w:rsid w:val="00AB3199"/>
    <w:rsid w:val="00AB37AF"/>
    <w:rsid w:val="00AB3DC2"/>
    <w:rsid w:val="00AB45A8"/>
    <w:rsid w:val="00AB4840"/>
    <w:rsid w:val="00AB4DFD"/>
    <w:rsid w:val="00AB53D4"/>
    <w:rsid w:val="00AB542A"/>
    <w:rsid w:val="00AB552F"/>
    <w:rsid w:val="00AB57B2"/>
    <w:rsid w:val="00AB5DB1"/>
    <w:rsid w:val="00AB613B"/>
    <w:rsid w:val="00AB6663"/>
    <w:rsid w:val="00AB72FF"/>
    <w:rsid w:val="00AB7A11"/>
    <w:rsid w:val="00AB7DF0"/>
    <w:rsid w:val="00AB7F21"/>
    <w:rsid w:val="00AC0046"/>
    <w:rsid w:val="00AC0530"/>
    <w:rsid w:val="00AC0A1E"/>
    <w:rsid w:val="00AC0BF9"/>
    <w:rsid w:val="00AC1E05"/>
    <w:rsid w:val="00AC23B7"/>
    <w:rsid w:val="00AC253E"/>
    <w:rsid w:val="00AC2788"/>
    <w:rsid w:val="00AC2A8A"/>
    <w:rsid w:val="00AC302D"/>
    <w:rsid w:val="00AC3247"/>
    <w:rsid w:val="00AC3259"/>
    <w:rsid w:val="00AC41D9"/>
    <w:rsid w:val="00AC4601"/>
    <w:rsid w:val="00AC46DE"/>
    <w:rsid w:val="00AC474B"/>
    <w:rsid w:val="00AC5200"/>
    <w:rsid w:val="00AC5660"/>
    <w:rsid w:val="00AC5FAC"/>
    <w:rsid w:val="00AC6048"/>
    <w:rsid w:val="00AC61AC"/>
    <w:rsid w:val="00AC61F2"/>
    <w:rsid w:val="00AC6283"/>
    <w:rsid w:val="00AC6FDE"/>
    <w:rsid w:val="00AC71F4"/>
    <w:rsid w:val="00AC7739"/>
    <w:rsid w:val="00AC7BFF"/>
    <w:rsid w:val="00AC7C9E"/>
    <w:rsid w:val="00AC7D49"/>
    <w:rsid w:val="00AC7EDA"/>
    <w:rsid w:val="00AD02D5"/>
    <w:rsid w:val="00AD0828"/>
    <w:rsid w:val="00AD0DC7"/>
    <w:rsid w:val="00AD0DE2"/>
    <w:rsid w:val="00AD1018"/>
    <w:rsid w:val="00AD175B"/>
    <w:rsid w:val="00AD17E2"/>
    <w:rsid w:val="00AD1A4C"/>
    <w:rsid w:val="00AD1CEA"/>
    <w:rsid w:val="00AD1D7F"/>
    <w:rsid w:val="00AD1E28"/>
    <w:rsid w:val="00AD21E9"/>
    <w:rsid w:val="00AD2354"/>
    <w:rsid w:val="00AD25C1"/>
    <w:rsid w:val="00AD2774"/>
    <w:rsid w:val="00AD317A"/>
    <w:rsid w:val="00AD33B5"/>
    <w:rsid w:val="00AD34FC"/>
    <w:rsid w:val="00AD3849"/>
    <w:rsid w:val="00AD42E9"/>
    <w:rsid w:val="00AD45EB"/>
    <w:rsid w:val="00AD45F9"/>
    <w:rsid w:val="00AD4618"/>
    <w:rsid w:val="00AD4A2E"/>
    <w:rsid w:val="00AD4FA4"/>
    <w:rsid w:val="00AD4FBC"/>
    <w:rsid w:val="00AD53A7"/>
    <w:rsid w:val="00AD5876"/>
    <w:rsid w:val="00AD5BBB"/>
    <w:rsid w:val="00AD5F95"/>
    <w:rsid w:val="00AD60BF"/>
    <w:rsid w:val="00AD6284"/>
    <w:rsid w:val="00AD62BD"/>
    <w:rsid w:val="00AD6BEC"/>
    <w:rsid w:val="00AD6EC9"/>
    <w:rsid w:val="00AD7583"/>
    <w:rsid w:val="00AD76FB"/>
    <w:rsid w:val="00AD79B2"/>
    <w:rsid w:val="00AD79B5"/>
    <w:rsid w:val="00AD7CB7"/>
    <w:rsid w:val="00AD7E2D"/>
    <w:rsid w:val="00AE005C"/>
    <w:rsid w:val="00AE0126"/>
    <w:rsid w:val="00AE02D3"/>
    <w:rsid w:val="00AE0836"/>
    <w:rsid w:val="00AE0851"/>
    <w:rsid w:val="00AE08A7"/>
    <w:rsid w:val="00AE0986"/>
    <w:rsid w:val="00AE0A82"/>
    <w:rsid w:val="00AE0AC7"/>
    <w:rsid w:val="00AE0D2B"/>
    <w:rsid w:val="00AE18DE"/>
    <w:rsid w:val="00AE1B58"/>
    <w:rsid w:val="00AE224D"/>
    <w:rsid w:val="00AE28F1"/>
    <w:rsid w:val="00AE2962"/>
    <w:rsid w:val="00AE2D97"/>
    <w:rsid w:val="00AE3F75"/>
    <w:rsid w:val="00AE43C7"/>
    <w:rsid w:val="00AE45DB"/>
    <w:rsid w:val="00AE4BE2"/>
    <w:rsid w:val="00AE4CBC"/>
    <w:rsid w:val="00AE4D3E"/>
    <w:rsid w:val="00AE4E09"/>
    <w:rsid w:val="00AE4E30"/>
    <w:rsid w:val="00AE5577"/>
    <w:rsid w:val="00AE5678"/>
    <w:rsid w:val="00AE56FD"/>
    <w:rsid w:val="00AE571C"/>
    <w:rsid w:val="00AE5B2E"/>
    <w:rsid w:val="00AE5F00"/>
    <w:rsid w:val="00AE5F7E"/>
    <w:rsid w:val="00AE6110"/>
    <w:rsid w:val="00AE65FE"/>
    <w:rsid w:val="00AE6807"/>
    <w:rsid w:val="00AE6B11"/>
    <w:rsid w:val="00AE6C72"/>
    <w:rsid w:val="00AE6E63"/>
    <w:rsid w:val="00AE70AC"/>
    <w:rsid w:val="00AE70E7"/>
    <w:rsid w:val="00AE72B7"/>
    <w:rsid w:val="00AE7481"/>
    <w:rsid w:val="00AE74B8"/>
    <w:rsid w:val="00AE7564"/>
    <w:rsid w:val="00AF0038"/>
    <w:rsid w:val="00AF05DF"/>
    <w:rsid w:val="00AF0920"/>
    <w:rsid w:val="00AF10E3"/>
    <w:rsid w:val="00AF1644"/>
    <w:rsid w:val="00AF1A06"/>
    <w:rsid w:val="00AF1BE1"/>
    <w:rsid w:val="00AF1D52"/>
    <w:rsid w:val="00AF1F33"/>
    <w:rsid w:val="00AF1F5C"/>
    <w:rsid w:val="00AF21F6"/>
    <w:rsid w:val="00AF2251"/>
    <w:rsid w:val="00AF265B"/>
    <w:rsid w:val="00AF26FA"/>
    <w:rsid w:val="00AF27EE"/>
    <w:rsid w:val="00AF2C41"/>
    <w:rsid w:val="00AF39BF"/>
    <w:rsid w:val="00AF3BED"/>
    <w:rsid w:val="00AF4046"/>
    <w:rsid w:val="00AF4188"/>
    <w:rsid w:val="00AF47FD"/>
    <w:rsid w:val="00AF4D6E"/>
    <w:rsid w:val="00AF5020"/>
    <w:rsid w:val="00AF517D"/>
    <w:rsid w:val="00AF519D"/>
    <w:rsid w:val="00AF51F1"/>
    <w:rsid w:val="00AF5375"/>
    <w:rsid w:val="00AF5551"/>
    <w:rsid w:val="00AF55DA"/>
    <w:rsid w:val="00AF568E"/>
    <w:rsid w:val="00AF5A1D"/>
    <w:rsid w:val="00AF5D9F"/>
    <w:rsid w:val="00AF5DA2"/>
    <w:rsid w:val="00AF5DD5"/>
    <w:rsid w:val="00AF5E2B"/>
    <w:rsid w:val="00AF6313"/>
    <w:rsid w:val="00AF6415"/>
    <w:rsid w:val="00AF6656"/>
    <w:rsid w:val="00AF6686"/>
    <w:rsid w:val="00AF6795"/>
    <w:rsid w:val="00AF6C9A"/>
    <w:rsid w:val="00AF6DB4"/>
    <w:rsid w:val="00AF6DD9"/>
    <w:rsid w:val="00AF6FC9"/>
    <w:rsid w:val="00AF7292"/>
    <w:rsid w:val="00AF74A3"/>
    <w:rsid w:val="00AF7DF9"/>
    <w:rsid w:val="00B003FC"/>
    <w:rsid w:val="00B00B0B"/>
    <w:rsid w:val="00B00E15"/>
    <w:rsid w:val="00B01049"/>
    <w:rsid w:val="00B01276"/>
    <w:rsid w:val="00B014A8"/>
    <w:rsid w:val="00B01A27"/>
    <w:rsid w:val="00B02215"/>
    <w:rsid w:val="00B023D1"/>
    <w:rsid w:val="00B027D5"/>
    <w:rsid w:val="00B0282F"/>
    <w:rsid w:val="00B030CD"/>
    <w:rsid w:val="00B03210"/>
    <w:rsid w:val="00B039E7"/>
    <w:rsid w:val="00B03D4F"/>
    <w:rsid w:val="00B04723"/>
    <w:rsid w:val="00B047AC"/>
    <w:rsid w:val="00B04C10"/>
    <w:rsid w:val="00B04C83"/>
    <w:rsid w:val="00B0535C"/>
    <w:rsid w:val="00B055CB"/>
    <w:rsid w:val="00B0593B"/>
    <w:rsid w:val="00B05968"/>
    <w:rsid w:val="00B059FF"/>
    <w:rsid w:val="00B06088"/>
    <w:rsid w:val="00B0611C"/>
    <w:rsid w:val="00B061D4"/>
    <w:rsid w:val="00B06582"/>
    <w:rsid w:val="00B06A3C"/>
    <w:rsid w:val="00B06DCE"/>
    <w:rsid w:val="00B072D3"/>
    <w:rsid w:val="00B07910"/>
    <w:rsid w:val="00B07C77"/>
    <w:rsid w:val="00B10007"/>
    <w:rsid w:val="00B10069"/>
    <w:rsid w:val="00B1035F"/>
    <w:rsid w:val="00B103E0"/>
    <w:rsid w:val="00B108A8"/>
    <w:rsid w:val="00B10A1E"/>
    <w:rsid w:val="00B10B8F"/>
    <w:rsid w:val="00B10F4D"/>
    <w:rsid w:val="00B10F51"/>
    <w:rsid w:val="00B1117D"/>
    <w:rsid w:val="00B1178A"/>
    <w:rsid w:val="00B117E9"/>
    <w:rsid w:val="00B119CF"/>
    <w:rsid w:val="00B11AA5"/>
    <w:rsid w:val="00B11C38"/>
    <w:rsid w:val="00B11E3E"/>
    <w:rsid w:val="00B120B4"/>
    <w:rsid w:val="00B1217B"/>
    <w:rsid w:val="00B12A46"/>
    <w:rsid w:val="00B132DB"/>
    <w:rsid w:val="00B13414"/>
    <w:rsid w:val="00B13A0B"/>
    <w:rsid w:val="00B13D06"/>
    <w:rsid w:val="00B13EE4"/>
    <w:rsid w:val="00B13FA1"/>
    <w:rsid w:val="00B1436F"/>
    <w:rsid w:val="00B144E3"/>
    <w:rsid w:val="00B145EA"/>
    <w:rsid w:val="00B148B5"/>
    <w:rsid w:val="00B14DBC"/>
    <w:rsid w:val="00B14F62"/>
    <w:rsid w:val="00B15076"/>
    <w:rsid w:val="00B154AB"/>
    <w:rsid w:val="00B15764"/>
    <w:rsid w:val="00B15AAF"/>
    <w:rsid w:val="00B16995"/>
    <w:rsid w:val="00B169F6"/>
    <w:rsid w:val="00B16CAD"/>
    <w:rsid w:val="00B16DAF"/>
    <w:rsid w:val="00B171C4"/>
    <w:rsid w:val="00B171DA"/>
    <w:rsid w:val="00B172E9"/>
    <w:rsid w:val="00B17784"/>
    <w:rsid w:val="00B178F8"/>
    <w:rsid w:val="00B17A40"/>
    <w:rsid w:val="00B17C2E"/>
    <w:rsid w:val="00B17E6A"/>
    <w:rsid w:val="00B20089"/>
    <w:rsid w:val="00B20386"/>
    <w:rsid w:val="00B20617"/>
    <w:rsid w:val="00B2088D"/>
    <w:rsid w:val="00B20A05"/>
    <w:rsid w:val="00B21031"/>
    <w:rsid w:val="00B211DB"/>
    <w:rsid w:val="00B216BD"/>
    <w:rsid w:val="00B216E7"/>
    <w:rsid w:val="00B21CC0"/>
    <w:rsid w:val="00B21EBF"/>
    <w:rsid w:val="00B2248B"/>
    <w:rsid w:val="00B22952"/>
    <w:rsid w:val="00B22DBC"/>
    <w:rsid w:val="00B23190"/>
    <w:rsid w:val="00B2330E"/>
    <w:rsid w:val="00B23408"/>
    <w:rsid w:val="00B237A1"/>
    <w:rsid w:val="00B2380D"/>
    <w:rsid w:val="00B23BEA"/>
    <w:rsid w:val="00B23D1C"/>
    <w:rsid w:val="00B23FE2"/>
    <w:rsid w:val="00B24BCE"/>
    <w:rsid w:val="00B25063"/>
    <w:rsid w:val="00B255F4"/>
    <w:rsid w:val="00B256A5"/>
    <w:rsid w:val="00B256F3"/>
    <w:rsid w:val="00B25825"/>
    <w:rsid w:val="00B26268"/>
    <w:rsid w:val="00B2657F"/>
    <w:rsid w:val="00B269BF"/>
    <w:rsid w:val="00B26A2A"/>
    <w:rsid w:val="00B26A44"/>
    <w:rsid w:val="00B27817"/>
    <w:rsid w:val="00B2783C"/>
    <w:rsid w:val="00B27896"/>
    <w:rsid w:val="00B27E82"/>
    <w:rsid w:val="00B27ED3"/>
    <w:rsid w:val="00B3053E"/>
    <w:rsid w:val="00B30912"/>
    <w:rsid w:val="00B30CD1"/>
    <w:rsid w:val="00B31364"/>
    <w:rsid w:val="00B314D5"/>
    <w:rsid w:val="00B3191F"/>
    <w:rsid w:val="00B32015"/>
    <w:rsid w:val="00B32722"/>
    <w:rsid w:val="00B3275B"/>
    <w:rsid w:val="00B32E10"/>
    <w:rsid w:val="00B33611"/>
    <w:rsid w:val="00B33B49"/>
    <w:rsid w:val="00B33F98"/>
    <w:rsid w:val="00B342ED"/>
    <w:rsid w:val="00B3445B"/>
    <w:rsid w:val="00B345AC"/>
    <w:rsid w:val="00B34C0A"/>
    <w:rsid w:val="00B34C3E"/>
    <w:rsid w:val="00B35040"/>
    <w:rsid w:val="00B3541F"/>
    <w:rsid w:val="00B3564C"/>
    <w:rsid w:val="00B356C8"/>
    <w:rsid w:val="00B3586D"/>
    <w:rsid w:val="00B35A43"/>
    <w:rsid w:val="00B35C92"/>
    <w:rsid w:val="00B35EDC"/>
    <w:rsid w:val="00B363EF"/>
    <w:rsid w:val="00B36967"/>
    <w:rsid w:val="00B36A7C"/>
    <w:rsid w:val="00B36D7A"/>
    <w:rsid w:val="00B36F0E"/>
    <w:rsid w:val="00B3706A"/>
    <w:rsid w:val="00B3727E"/>
    <w:rsid w:val="00B37405"/>
    <w:rsid w:val="00B37598"/>
    <w:rsid w:val="00B37685"/>
    <w:rsid w:val="00B37A29"/>
    <w:rsid w:val="00B37D59"/>
    <w:rsid w:val="00B40ED3"/>
    <w:rsid w:val="00B41049"/>
    <w:rsid w:val="00B4117B"/>
    <w:rsid w:val="00B41277"/>
    <w:rsid w:val="00B414E2"/>
    <w:rsid w:val="00B419BB"/>
    <w:rsid w:val="00B41C7C"/>
    <w:rsid w:val="00B4205D"/>
    <w:rsid w:val="00B433E8"/>
    <w:rsid w:val="00B43865"/>
    <w:rsid w:val="00B43CE2"/>
    <w:rsid w:val="00B43EA9"/>
    <w:rsid w:val="00B4471F"/>
    <w:rsid w:val="00B44BB9"/>
    <w:rsid w:val="00B44D93"/>
    <w:rsid w:val="00B44F0B"/>
    <w:rsid w:val="00B45257"/>
    <w:rsid w:val="00B45657"/>
    <w:rsid w:val="00B45888"/>
    <w:rsid w:val="00B458C3"/>
    <w:rsid w:val="00B45D51"/>
    <w:rsid w:val="00B45EF8"/>
    <w:rsid w:val="00B465EA"/>
    <w:rsid w:val="00B4660B"/>
    <w:rsid w:val="00B467D8"/>
    <w:rsid w:val="00B46A05"/>
    <w:rsid w:val="00B46E0C"/>
    <w:rsid w:val="00B472D8"/>
    <w:rsid w:val="00B475B8"/>
    <w:rsid w:val="00B475EA"/>
    <w:rsid w:val="00B47727"/>
    <w:rsid w:val="00B478C2"/>
    <w:rsid w:val="00B47F23"/>
    <w:rsid w:val="00B504E3"/>
    <w:rsid w:val="00B50C2F"/>
    <w:rsid w:val="00B51118"/>
    <w:rsid w:val="00B515C1"/>
    <w:rsid w:val="00B517D0"/>
    <w:rsid w:val="00B51942"/>
    <w:rsid w:val="00B51B5B"/>
    <w:rsid w:val="00B51C79"/>
    <w:rsid w:val="00B51F9B"/>
    <w:rsid w:val="00B520EC"/>
    <w:rsid w:val="00B5299C"/>
    <w:rsid w:val="00B52B43"/>
    <w:rsid w:val="00B531B2"/>
    <w:rsid w:val="00B53631"/>
    <w:rsid w:val="00B53661"/>
    <w:rsid w:val="00B53BDF"/>
    <w:rsid w:val="00B53F55"/>
    <w:rsid w:val="00B54024"/>
    <w:rsid w:val="00B542E1"/>
    <w:rsid w:val="00B5474D"/>
    <w:rsid w:val="00B54A9F"/>
    <w:rsid w:val="00B54FDF"/>
    <w:rsid w:val="00B5559B"/>
    <w:rsid w:val="00B559BD"/>
    <w:rsid w:val="00B55F63"/>
    <w:rsid w:val="00B55FC4"/>
    <w:rsid w:val="00B55FE8"/>
    <w:rsid w:val="00B5611D"/>
    <w:rsid w:val="00B56555"/>
    <w:rsid w:val="00B56EEA"/>
    <w:rsid w:val="00B57116"/>
    <w:rsid w:val="00B573D2"/>
    <w:rsid w:val="00B573EC"/>
    <w:rsid w:val="00B57565"/>
    <w:rsid w:val="00B57654"/>
    <w:rsid w:val="00B57681"/>
    <w:rsid w:val="00B578AF"/>
    <w:rsid w:val="00B6027F"/>
    <w:rsid w:val="00B602D4"/>
    <w:rsid w:val="00B603FF"/>
    <w:rsid w:val="00B60427"/>
    <w:rsid w:val="00B604F0"/>
    <w:rsid w:val="00B60754"/>
    <w:rsid w:val="00B608C2"/>
    <w:rsid w:val="00B609AE"/>
    <w:rsid w:val="00B60B52"/>
    <w:rsid w:val="00B60DBD"/>
    <w:rsid w:val="00B60F50"/>
    <w:rsid w:val="00B60FEC"/>
    <w:rsid w:val="00B610A1"/>
    <w:rsid w:val="00B61451"/>
    <w:rsid w:val="00B616C4"/>
    <w:rsid w:val="00B62470"/>
    <w:rsid w:val="00B626B7"/>
    <w:rsid w:val="00B62951"/>
    <w:rsid w:val="00B62C7C"/>
    <w:rsid w:val="00B638BA"/>
    <w:rsid w:val="00B63AF5"/>
    <w:rsid w:val="00B63B89"/>
    <w:rsid w:val="00B64B12"/>
    <w:rsid w:val="00B64E70"/>
    <w:rsid w:val="00B6547F"/>
    <w:rsid w:val="00B660F8"/>
    <w:rsid w:val="00B66ABF"/>
    <w:rsid w:val="00B66C2C"/>
    <w:rsid w:val="00B66C7E"/>
    <w:rsid w:val="00B66C8C"/>
    <w:rsid w:val="00B66EE0"/>
    <w:rsid w:val="00B670A0"/>
    <w:rsid w:val="00B670F7"/>
    <w:rsid w:val="00B6734B"/>
    <w:rsid w:val="00B6740B"/>
    <w:rsid w:val="00B674C2"/>
    <w:rsid w:val="00B678F8"/>
    <w:rsid w:val="00B70101"/>
    <w:rsid w:val="00B706C4"/>
    <w:rsid w:val="00B70A4A"/>
    <w:rsid w:val="00B70E5B"/>
    <w:rsid w:val="00B70F53"/>
    <w:rsid w:val="00B7132F"/>
    <w:rsid w:val="00B713C0"/>
    <w:rsid w:val="00B71AA6"/>
    <w:rsid w:val="00B71B0D"/>
    <w:rsid w:val="00B71CBC"/>
    <w:rsid w:val="00B71D18"/>
    <w:rsid w:val="00B71D93"/>
    <w:rsid w:val="00B71DAC"/>
    <w:rsid w:val="00B71E3D"/>
    <w:rsid w:val="00B71E7F"/>
    <w:rsid w:val="00B71F19"/>
    <w:rsid w:val="00B721C3"/>
    <w:rsid w:val="00B7233F"/>
    <w:rsid w:val="00B724B3"/>
    <w:rsid w:val="00B7290D"/>
    <w:rsid w:val="00B72980"/>
    <w:rsid w:val="00B73974"/>
    <w:rsid w:val="00B74096"/>
    <w:rsid w:val="00B74A35"/>
    <w:rsid w:val="00B74ABB"/>
    <w:rsid w:val="00B74D85"/>
    <w:rsid w:val="00B74E3E"/>
    <w:rsid w:val="00B75102"/>
    <w:rsid w:val="00B754D7"/>
    <w:rsid w:val="00B75657"/>
    <w:rsid w:val="00B756CB"/>
    <w:rsid w:val="00B75880"/>
    <w:rsid w:val="00B760B0"/>
    <w:rsid w:val="00B762A9"/>
    <w:rsid w:val="00B7673F"/>
    <w:rsid w:val="00B7684B"/>
    <w:rsid w:val="00B76F06"/>
    <w:rsid w:val="00B770F1"/>
    <w:rsid w:val="00B7714A"/>
    <w:rsid w:val="00B77176"/>
    <w:rsid w:val="00B77324"/>
    <w:rsid w:val="00B775A8"/>
    <w:rsid w:val="00B7788B"/>
    <w:rsid w:val="00B77E07"/>
    <w:rsid w:val="00B800C8"/>
    <w:rsid w:val="00B80467"/>
    <w:rsid w:val="00B804B4"/>
    <w:rsid w:val="00B8092E"/>
    <w:rsid w:val="00B8095A"/>
    <w:rsid w:val="00B80D9E"/>
    <w:rsid w:val="00B80DAE"/>
    <w:rsid w:val="00B80EA0"/>
    <w:rsid w:val="00B8151E"/>
    <w:rsid w:val="00B81786"/>
    <w:rsid w:val="00B81CC0"/>
    <w:rsid w:val="00B81DA4"/>
    <w:rsid w:val="00B81F72"/>
    <w:rsid w:val="00B82503"/>
    <w:rsid w:val="00B82506"/>
    <w:rsid w:val="00B82788"/>
    <w:rsid w:val="00B833F2"/>
    <w:rsid w:val="00B838F9"/>
    <w:rsid w:val="00B83B1F"/>
    <w:rsid w:val="00B83B7B"/>
    <w:rsid w:val="00B83D43"/>
    <w:rsid w:val="00B83D92"/>
    <w:rsid w:val="00B8419A"/>
    <w:rsid w:val="00B84827"/>
    <w:rsid w:val="00B8489B"/>
    <w:rsid w:val="00B84A61"/>
    <w:rsid w:val="00B84CB7"/>
    <w:rsid w:val="00B84E7F"/>
    <w:rsid w:val="00B84EBC"/>
    <w:rsid w:val="00B84FE7"/>
    <w:rsid w:val="00B85376"/>
    <w:rsid w:val="00B855DF"/>
    <w:rsid w:val="00B8567B"/>
    <w:rsid w:val="00B85D34"/>
    <w:rsid w:val="00B85EA3"/>
    <w:rsid w:val="00B864EE"/>
    <w:rsid w:val="00B86A0A"/>
    <w:rsid w:val="00B86EA6"/>
    <w:rsid w:val="00B87290"/>
    <w:rsid w:val="00B872A5"/>
    <w:rsid w:val="00B872D0"/>
    <w:rsid w:val="00B87988"/>
    <w:rsid w:val="00B87A57"/>
    <w:rsid w:val="00B87A8A"/>
    <w:rsid w:val="00B87B41"/>
    <w:rsid w:val="00B87C20"/>
    <w:rsid w:val="00B87FB7"/>
    <w:rsid w:val="00B90369"/>
    <w:rsid w:val="00B90A08"/>
    <w:rsid w:val="00B90E49"/>
    <w:rsid w:val="00B90F75"/>
    <w:rsid w:val="00B914B7"/>
    <w:rsid w:val="00B9186F"/>
    <w:rsid w:val="00B92177"/>
    <w:rsid w:val="00B923A8"/>
    <w:rsid w:val="00B9279C"/>
    <w:rsid w:val="00B9324B"/>
    <w:rsid w:val="00B93B3D"/>
    <w:rsid w:val="00B93B61"/>
    <w:rsid w:val="00B93C51"/>
    <w:rsid w:val="00B93F00"/>
    <w:rsid w:val="00B943AF"/>
    <w:rsid w:val="00B944A9"/>
    <w:rsid w:val="00B9453A"/>
    <w:rsid w:val="00B950BE"/>
    <w:rsid w:val="00B953E1"/>
    <w:rsid w:val="00B956D6"/>
    <w:rsid w:val="00B95770"/>
    <w:rsid w:val="00B95B8F"/>
    <w:rsid w:val="00B95CE1"/>
    <w:rsid w:val="00B95D99"/>
    <w:rsid w:val="00B95E14"/>
    <w:rsid w:val="00B96666"/>
    <w:rsid w:val="00B96830"/>
    <w:rsid w:val="00B96B4F"/>
    <w:rsid w:val="00B96CA2"/>
    <w:rsid w:val="00B96DA4"/>
    <w:rsid w:val="00B96F13"/>
    <w:rsid w:val="00B9773D"/>
    <w:rsid w:val="00B9778D"/>
    <w:rsid w:val="00BA00EF"/>
    <w:rsid w:val="00BA01A6"/>
    <w:rsid w:val="00BA059F"/>
    <w:rsid w:val="00BA062D"/>
    <w:rsid w:val="00BA0704"/>
    <w:rsid w:val="00BA0853"/>
    <w:rsid w:val="00BA0C1D"/>
    <w:rsid w:val="00BA0C89"/>
    <w:rsid w:val="00BA0D9F"/>
    <w:rsid w:val="00BA100A"/>
    <w:rsid w:val="00BA11D2"/>
    <w:rsid w:val="00BA146E"/>
    <w:rsid w:val="00BA1A24"/>
    <w:rsid w:val="00BA1A72"/>
    <w:rsid w:val="00BA1CFA"/>
    <w:rsid w:val="00BA1D6F"/>
    <w:rsid w:val="00BA1ECD"/>
    <w:rsid w:val="00BA200E"/>
    <w:rsid w:val="00BA2184"/>
    <w:rsid w:val="00BA25B3"/>
    <w:rsid w:val="00BA2AFE"/>
    <w:rsid w:val="00BA338D"/>
    <w:rsid w:val="00BA3399"/>
    <w:rsid w:val="00BA36C2"/>
    <w:rsid w:val="00BA3A4B"/>
    <w:rsid w:val="00BA45EA"/>
    <w:rsid w:val="00BA45EF"/>
    <w:rsid w:val="00BA47F7"/>
    <w:rsid w:val="00BA4996"/>
    <w:rsid w:val="00BA499C"/>
    <w:rsid w:val="00BA4C6C"/>
    <w:rsid w:val="00BA4C73"/>
    <w:rsid w:val="00BA4D59"/>
    <w:rsid w:val="00BA4D7B"/>
    <w:rsid w:val="00BA4DD3"/>
    <w:rsid w:val="00BA52C3"/>
    <w:rsid w:val="00BA583D"/>
    <w:rsid w:val="00BA5AC7"/>
    <w:rsid w:val="00BA5F8C"/>
    <w:rsid w:val="00BA6513"/>
    <w:rsid w:val="00BA6723"/>
    <w:rsid w:val="00BA6FBD"/>
    <w:rsid w:val="00BA719A"/>
    <w:rsid w:val="00BA72D2"/>
    <w:rsid w:val="00BA7863"/>
    <w:rsid w:val="00BA7AA3"/>
    <w:rsid w:val="00BB01F1"/>
    <w:rsid w:val="00BB0605"/>
    <w:rsid w:val="00BB08A1"/>
    <w:rsid w:val="00BB0D3B"/>
    <w:rsid w:val="00BB0E7C"/>
    <w:rsid w:val="00BB0F65"/>
    <w:rsid w:val="00BB12D0"/>
    <w:rsid w:val="00BB14F2"/>
    <w:rsid w:val="00BB15C0"/>
    <w:rsid w:val="00BB183E"/>
    <w:rsid w:val="00BB1B80"/>
    <w:rsid w:val="00BB1C61"/>
    <w:rsid w:val="00BB226F"/>
    <w:rsid w:val="00BB2699"/>
    <w:rsid w:val="00BB2996"/>
    <w:rsid w:val="00BB2BEE"/>
    <w:rsid w:val="00BB3844"/>
    <w:rsid w:val="00BB3E0C"/>
    <w:rsid w:val="00BB4CC1"/>
    <w:rsid w:val="00BB4E23"/>
    <w:rsid w:val="00BB5068"/>
    <w:rsid w:val="00BB55C3"/>
    <w:rsid w:val="00BB582D"/>
    <w:rsid w:val="00BB5BE2"/>
    <w:rsid w:val="00BB5CB9"/>
    <w:rsid w:val="00BB5E21"/>
    <w:rsid w:val="00BB6C75"/>
    <w:rsid w:val="00BB707B"/>
    <w:rsid w:val="00BB7086"/>
    <w:rsid w:val="00BB75DF"/>
    <w:rsid w:val="00BB7767"/>
    <w:rsid w:val="00BB79D4"/>
    <w:rsid w:val="00BB7A21"/>
    <w:rsid w:val="00BB7BD5"/>
    <w:rsid w:val="00BB7E22"/>
    <w:rsid w:val="00BC0424"/>
    <w:rsid w:val="00BC0BA8"/>
    <w:rsid w:val="00BC0EC3"/>
    <w:rsid w:val="00BC0EFC"/>
    <w:rsid w:val="00BC0FD1"/>
    <w:rsid w:val="00BC1040"/>
    <w:rsid w:val="00BC10AE"/>
    <w:rsid w:val="00BC11C9"/>
    <w:rsid w:val="00BC12CA"/>
    <w:rsid w:val="00BC15A3"/>
    <w:rsid w:val="00BC1878"/>
    <w:rsid w:val="00BC1987"/>
    <w:rsid w:val="00BC1E6D"/>
    <w:rsid w:val="00BC2105"/>
    <w:rsid w:val="00BC2587"/>
    <w:rsid w:val="00BC293B"/>
    <w:rsid w:val="00BC29A0"/>
    <w:rsid w:val="00BC2D27"/>
    <w:rsid w:val="00BC2E86"/>
    <w:rsid w:val="00BC3013"/>
    <w:rsid w:val="00BC3639"/>
    <w:rsid w:val="00BC4648"/>
    <w:rsid w:val="00BC4B86"/>
    <w:rsid w:val="00BC4CD0"/>
    <w:rsid w:val="00BC574C"/>
    <w:rsid w:val="00BC5A70"/>
    <w:rsid w:val="00BC5BDD"/>
    <w:rsid w:val="00BC5CB5"/>
    <w:rsid w:val="00BC5DB2"/>
    <w:rsid w:val="00BC625E"/>
    <w:rsid w:val="00BC667D"/>
    <w:rsid w:val="00BC6B52"/>
    <w:rsid w:val="00BC6E56"/>
    <w:rsid w:val="00BC728A"/>
    <w:rsid w:val="00BC7330"/>
    <w:rsid w:val="00BC73B4"/>
    <w:rsid w:val="00BC7A9C"/>
    <w:rsid w:val="00BC7BC1"/>
    <w:rsid w:val="00BC7BCB"/>
    <w:rsid w:val="00BD01BF"/>
    <w:rsid w:val="00BD0685"/>
    <w:rsid w:val="00BD0714"/>
    <w:rsid w:val="00BD0927"/>
    <w:rsid w:val="00BD0AD4"/>
    <w:rsid w:val="00BD0C2A"/>
    <w:rsid w:val="00BD0F3E"/>
    <w:rsid w:val="00BD10A0"/>
    <w:rsid w:val="00BD11BA"/>
    <w:rsid w:val="00BD17D3"/>
    <w:rsid w:val="00BD193E"/>
    <w:rsid w:val="00BD1C37"/>
    <w:rsid w:val="00BD1CD6"/>
    <w:rsid w:val="00BD1E28"/>
    <w:rsid w:val="00BD1EE6"/>
    <w:rsid w:val="00BD1F61"/>
    <w:rsid w:val="00BD1F7F"/>
    <w:rsid w:val="00BD20E1"/>
    <w:rsid w:val="00BD254B"/>
    <w:rsid w:val="00BD2815"/>
    <w:rsid w:val="00BD29D8"/>
    <w:rsid w:val="00BD3319"/>
    <w:rsid w:val="00BD39B3"/>
    <w:rsid w:val="00BD3F6C"/>
    <w:rsid w:val="00BD4350"/>
    <w:rsid w:val="00BD43C4"/>
    <w:rsid w:val="00BD44E5"/>
    <w:rsid w:val="00BD4CCF"/>
    <w:rsid w:val="00BD4D7C"/>
    <w:rsid w:val="00BD4DA3"/>
    <w:rsid w:val="00BD4F19"/>
    <w:rsid w:val="00BD51D4"/>
    <w:rsid w:val="00BD54C6"/>
    <w:rsid w:val="00BD617C"/>
    <w:rsid w:val="00BD62DC"/>
    <w:rsid w:val="00BD69F5"/>
    <w:rsid w:val="00BD6C46"/>
    <w:rsid w:val="00BD7174"/>
    <w:rsid w:val="00BD74D9"/>
    <w:rsid w:val="00BD79DD"/>
    <w:rsid w:val="00BD7DD8"/>
    <w:rsid w:val="00BD7E0C"/>
    <w:rsid w:val="00BD7EF8"/>
    <w:rsid w:val="00BE01B5"/>
    <w:rsid w:val="00BE023F"/>
    <w:rsid w:val="00BE08AF"/>
    <w:rsid w:val="00BE0951"/>
    <w:rsid w:val="00BE0AC5"/>
    <w:rsid w:val="00BE0D3C"/>
    <w:rsid w:val="00BE0F0E"/>
    <w:rsid w:val="00BE157B"/>
    <w:rsid w:val="00BE17A0"/>
    <w:rsid w:val="00BE209A"/>
    <w:rsid w:val="00BE2133"/>
    <w:rsid w:val="00BE2459"/>
    <w:rsid w:val="00BE2786"/>
    <w:rsid w:val="00BE2912"/>
    <w:rsid w:val="00BE2D8C"/>
    <w:rsid w:val="00BE3051"/>
    <w:rsid w:val="00BE3628"/>
    <w:rsid w:val="00BE3736"/>
    <w:rsid w:val="00BE378A"/>
    <w:rsid w:val="00BE3907"/>
    <w:rsid w:val="00BE3F0C"/>
    <w:rsid w:val="00BE3F19"/>
    <w:rsid w:val="00BE401E"/>
    <w:rsid w:val="00BE41B5"/>
    <w:rsid w:val="00BE42E0"/>
    <w:rsid w:val="00BE45F5"/>
    <w:rsid w:val="00BE47A1"/>
    <w:rsid w:val="00BE47D9"/>
    <w:rsid w:val="00BE49B2"/>
    <w:rsid w:val="00BE4C33"/>
    <w:rsid w:val="00BE4E3E"/>
    <w:rsid w:val="00BE4F1A"/>
    <w:rsid w:val="00BE53D2"/>
    <w:rsid w:val="00BE55C8"/>
    <w:rsid w:val="00BE570F"/>
    <w:rsid w:val="00BE57E0"/>
    <w:rsid w:val="00BE5CA8"/>
    <w:rsid w:val="00BE5FBA"/>
    <w:rsid w:val="00BE5FCD"/>
    <w:rsid w:val="00BE60D9"/>
    <w:rsid w:val="00BE6701"/>
    <w:rsid w:val="00BE6E45"/>
    <w:rsid w:val="00BE6E5B"/>
    <w:rsid w:val="00BE7004"/>
    <w:rsid w:val="00BE77ED"/>
    <w:rsid w:val="00BE7EB2"/>
    <w:rsid w:val="00BF086B"/>
    <w:rsid w:val="00BF098A"/>
    <w:rsid w:val="00BF098C"/>
    <w:rsid w:val="00BF0F7D"/>
    <w:rsid w:val="00BF135F"/>
    <w:rsid w:val="00BF1497"/>
    <w:rsid w:val="00BF15A5"/>
    <w:rsid w:val="00BF1B76"/>
    <w:rsid w:val="00BF2536"/>
    <w:rsid w:val="00BF2A3A"/>
    <w:rsid w:val="00BF2B3C"/>
    <w:rsid w:val="00BF2B4A"/>
    <w:rsid w:val="00BF2EC4"/>
    <w:rsid w:val="00BF330F"/>
    <w:rsid w:val="00BF3C34"/>
    <w:rsid w:val="00BF3EA7"/>
    <w:rsid w:val="00BF41B8"/>
    <w:rsid w:val="00BF43B4"/>
    <w:rsid w:val="00BF49DD"/>
    <w:rsid w:val="00BF4CFE"/>
    <w:rsid w:val="00BF509B"/>
    <w:rsid w:val="00BF5175"/>
    <w:rsid w:val="00BF5298"/>
    <w:rsid w:val="00BF556F"/>
    <w:rsid w:val="00BF5AD6"/>
    <w:rsid w:val="00BF5BDD"/>
    <w:rsid w:val="00BF5BE4"/>
    <w:rsid w:val="00BF6093"/>
    <w:rsid w:val="00BF632E"/>
    <w:rsid w:val="00BF65FA"/>
    <w:rsid w:val="00BF6D2F"/>
    <w:rsid w:val="00BF7110"/>
    <w:rsid w:val="00BF7164"/>
    <w:rsid w:val="00BF77C1"/>
    <w:rsid w:val="00BF79D9"/>
    <w:rsid w:val="00BF7C2D"/>
    <w:rsid w:val="00BF7CEC"/>
    <w:rsid w:val="00BF7DC4"/>
    <w:rsid w:val="00C002C2"/>
    <w:rsid w:val="00C008A1"/>
    <w:rsid w:val="00C00C16"/>
    <w:rsid w:val="00C01082"/>
    <w:rsid w:val="00C01BDC"/>
    <w:rsid w:val="00C01F11"/>
    <w:rsid w:val="00C01FAD"/>
    <w:rsid w:val="00C02932"/>
    <w:rsid w:val="00C0298E"/>
    <w:rsid w:val="00C030CB"/>
    <w:rsid w:val="00C035B9"/>
    <w:rsid w:val="00C0400E"/>
    <w:rsid w:val="00C0433C"/>
    <w:rsid w:val="00C04E41"/>
    <w:rsid w:val="00C052F5"/>
    <w:rsid w:val="00C0545C"/>
    <w:rsid w:val="00C056CA"/>
    <w:rsid w:val="00C05731"/>
    <w:rsid w:val="00C0637F"/>
    <w:rsid w:val="00C0655C"/>
    <w:rsid w:val="00C075A6"/>
    <w:rsid w:val="00C0787A"/>
    <w:rsid w:val="00C07884"/>
    <w:rsid w:val="00C078BB"/>
    <w:rsid w:val="00C07DA5"/>
    <w:rsid w:val="00C07F86"/>
    <w:rsid w:val="00C100DC"/>
    <w:rsid w:val="00C10426"/>
    <w:rsid w:val="00C10C77"/>
    <w:rsid w:val="00C10E9E"/>
    <w:rsid w:val="00C10EEF"/>
    <w:rsid w:val="00C11719"/>
    <w:rsid w:val="00C11D8A"/>
    <w:rsid w:val="00C120E2"/>
    <w:rsid w:val="00C120FE"/>
    <w:rsid w:val="00C122E7"/>
    <w:rsid w:val="00C12869"/>
    <w:rsid w:val="00C13379"/>
    <w:rsid w:val="00C13DDF"/>
    <w:rsid w:val="00C13FC2"/>
    <w:rsid w:val="00C14105"/>
    <w:rsid w:val="00C14386"/>
    <w:rsid w:val="00C14D48"/>
    <w:rsid w:val="00C150EA"/>
    <w:rsid w:val="00C15206"/>
    <w:rsid w:val="00C153AE"/>
    <w:rsid w:val="00C162DD"/>
    <w:rsid w:val="00C164E4"/>
    <w:rsid w:val="00C16790"/>
    <w:rsid w:val="00C16A00"/>
    <w:rsid w:val="00C17097"/>
    <w:rsid w:val="00C174AF"/>
    <w:rsid w:val="00C17654"/>
    <w:rsid w:val="00C177F7"/>
    <w:rsid w:val="00C210A0"/>
    <w:rsid w:val="00C218A1"/>
    <w:rsid w:val="00C21AE8"/>
    <w:rsid w:val="00C21C15"/>
    <w:rsid w:val="00C2212E"/>
    <w:rsid w:val="00C22192"/>
    <w:rsid w:val="00C22414"/>
    <w:rsid w:val="00C22507"/>
    <w:rsid w:val="00C22D51"/>
    <w:rsid w:val="00C23004"/>
    <w:rsid w:val="00C230F8"/>
    <w:rsid w:val="00C2347A"/>
    <w:rsid w:val="00C23687"/>
    <w:rsid w:val="00C2390F"/>
    <w:rsid w:val="00C23D9A"/>
    <w:rsid w:val="00C24340"/>
    <w:rsid w:val="00C244AC"/>
    <w:rsid w:val="00C244F2"/>
    <w:rsid w:val="00C24B10"/>
    <w:rsid w:val="00C250F7"/>
    <w:rsid w:val="00C251C9"/>
    <w:rsid w:val="00C256EB"/>
    <w:rsid w:val="00C257FA"/>
    <w:rsid w:val="00C2587A"/>
    <w:rsid w:val="00C259F6"/>
    <w:rsid w:val="00C25D0A"/>
    <w:rsid w:val="00C25D6D"/>
    <w:rsid w:val="00C2639A"/>
    <w:rsid w:val="00C267F9"/>
    <w:rsid w:val="00C26AED"/>
    <w:rsid w:val="00C26D0A"/>
    <w:rsid w:val="00C26DE2"/>
    <w:rsid w:val="00C2727E"/>
    <w:rsid w:val="00C275DC"/>
    <w:rsid w:val="00C2782D"/>
    <w:rsid w:val="00C27A68"/>
    <w:rsid w:val="00C30170"/>
    <w:rsid w:val="00C302A9"/>
    <w:rsid w:val="00C3047F"/>
    <w:rsid w:val="00C30641"/>
    <w:rsid w:val="00C30873"/>
    <w:rsid w:val="00C30C45"/>
    <w:rsid w:val="00C3136B"/>
    <w:rsid w:val="00C31539"/>
    <w:rsid w:val="00C316A8"/>
    <w:rsid w:val="00C3222C"/>
    <w:rsid w:val="00C3272F"/>
    <w:rsid w:val="00C3290E"/>
    <w:rsid w:val="00C3294F"/>
    <w:rsid w:val="00C32B54"/>
    <w:rsid w:val="00C32CAA"/>
    <w:rsid w:val="00C32D52"/>
    <w:rsid w:val="00C32E8C"/>
    <w:rsid w:val="00C330AC"/>
    <w:rsid w:val="00C33827"/>
    <w:rsid w:val="00C33C59"/>
    <w:rsid w:val="00C33E16"/>
    <w:rsid w:val="00C33FC5"/>
    <w:rsid w:val="00C341C7"/>
    <w:rsid w:val="00C34315"/>
    <w:rsid w:val="00C343BC"/>
    <w:rsid w:val="00C348D9"/>
    <w:rsid w:val="00C348EB"/>
    <w:rsid w:val="00C34902"/>
    <w:rsid w:val="00C34953"/>
    <w:rsid w:val="00C349FB"/>
    <w:rsid w:val="00C353DC"/>
    <w:rsid w:val="00C35607"/>
    <w:rsid w:val="00C35A8E"/>
    <w:rsid w:val="00C369B4"/>
    <w:rsid w:val="00C36AAB"/>
    <w:rsid w:val="00C36B2C"/>
    <w:rsid w:val="00C36EFC"/>
    <w:rsid w:val="00C36FD5"/>
    <w:rsid w:val="00C3717B"/>
    <w:rsid w:val="00C374F2"/>
    <w:rsid w:val="00C3764A"/>
    <w:rsid w:val="00C401DC"/>
    <w:rsid w:val="00C4020B"/>
    <w:rsid w:val="00C4043F"/>
    <w:rsid w:val="00C404FA"/>
    <w:rsid w:val="00C4074C"/>
    <w:rsid w:val="00C407BB"/>
    <w:rsid w:val="00C40803"/>
    <w:rsid w:val="00C409A7"/>
    <w:rsid w:val="00C40DE3"/>
    <w:rsid w:val="00C40E32"/>
    <w:rsid w:val="00C40F9C"/>
    <w:rsid w:val="00C4142D"/>
    <w:rsid w:val="00C414C8"/>
    <w:rsid w:val="00C41720"/>
    <w:rsid w:val="00C4193F"/>
    <w:rsid w:val="00C41F9D"/>
    <w:rsid w:val="00C41FCE"/>
    <w:rsid w:val="00C42232"/>
    <w:rsid w:val="00C42377"/>
    <w:rsid w:val="00C424DA"/>
    <w:rsid w:val="00C4277D"/>
    <w:rsid w:val="00C42C34"/>
    <w:rsid w:val="00C43151"/>
    <w:rsid w:val="00C4339F"/>
    <w:rsid w:val="00C43C2B"/>
    <w:rsid w:val="00C43D34"/>
    <w:rsid w:val="00C442C1"/>
    <w:rsid w:val="00C44BF0"/>
    <w:rsid w:val="00C451FD"/>
    <w:rsid w:val="00C45701"/>
    <w:rsid w:val="00C45DFA"/>
    <w:rsid w:val="00C45F1C"/>
    <w:rsid w:val="00C468CC"/>
    <w:rsid w:val="00C46E57"/>
    <w:rsid w:val="00C46F4B"/>
    <w:rsid w:val="00C470E2"/>
    <w:rsid w:val="00C475D5"/>
    <w:rsid w:val="00C475F7"/>
    <w:rsid w:val="00C478B9"/>
    <w:rsid w:val="00C4799B"/>
    <w:rsid w:val="00C47D79"/>
    <w:rsid w:val="00C47F20"/>
    <w:rsid w:val="00C5011D"/>
    <w:rsid w:val="00C50171"/>
    <w:rsid w:val="00C502E6"/>
    <w:rsid w:val="00C50389"/>
    <w:rsid w:val="00C50790"/>
    <w:rsid w:val="00C50C8D"/>
    <w:rsid w:val="00C510A6"/>
    <w:rsid w:val="00C512D8"/>
    <w:rsid w:val="00C51365"/>
    <w:rsid w:val="00C5183F"/>
    <w:rsid w:val="00C51B0E"/>
    <w:rsid w:val="00C51EC0"/>
    <w:rsid w:val="00C52851"/>
    <w:rsid w:val="00C52928"/>
    <w:rsid w:val="00C529A3"/>
    <w:rsid w:val="00C52C68"/>
    <w:rsid w:val="00C5326E"/>
    <w:rsid w:val="00C53617"/>
    <w:rsid w:val="00C54190"/>
    <w:rsid w:val="00C543F1"/>
    <w:rsid w:val="00C5453A"/>
    <w:rsid w:val="00C5461C"/>
    <w:rsid w:val="00C5506B"/>
    <w:rsid w:val="00C552F9"/>
    <w:rsid w:val="00C553D6"/>
    <w:rsid w:val="00C5556B"/>
    <w:rsid w:val="00C55585"/>
    <w:rsid w:val="00C5574F"/>
    <w:rsid w:val="00C55B5F"/>
    <w:rsid w:val="00C55BCE"/>
    <w:rsid w:val="00C56161"/>
    <w:rsid w:val="00C5650C"/>
    <w:rsid w:val="00C569CA"/>
    <w:rsid w:val="00C56B19"/>
    <w:rsid w:val="00C57136"/>
    <w:rsid w:val="00C57888"/>
    <w:rsid w:val="00C57AAF"/>
    <w:rsid w:val="00C57BDC"/>
    <w:rsid w:val="00C60C43"/>
    <w:rsid w:val="00C60C94"/>
    <w:rsid w:val="00C612A9"/>
    <w:rsid w:val="00C616F7"/>
    <w:rsid w:val="00C61920"/>
    <w:rsid w:val="00C61BF2"/>
    <w:rsid w:val="00C621D0"/>
    <w:rsid w:val="00C62393"/>
    <w:rsid w:val="00C624AD"/>
    <w:rsid w:val="00C626A5"/>
    <w:rsid w:val="00C626A8"/>
    <w:rsid w:val="00C628D1"/>
    <w:rsid w:val="00C62F43"/>
    <w:rsid w:val="00C63099"/>
    <w:rsid w:val="00C63284"/>
    <w:rsid w:val="00C6386F"/>
    <w:rsid w:val="00C638E3"/>
    <w:rsid w:val="00C638EC"/>
    <w:rsid w:val="00C63C9D"/>
    <w:rsid w:val="00C63D93"/>
    <w:rsid w:val="00C64501"/>
    <w:rsid w:val="00C64F19"/>
    <w:rsid w:val="00C650D4"/>
    <w:rsid w:val="00C65314"/>
    <w:rsid w:val="00C6554C"/>
    <w:rsid w:val="00C657F8"/>
    <w:rsid w:val="00C658ED"/>
    <w:rsid w:val="00C65AA0"/>
    <w:rsid w:val="00C65AFA"/>
    <w:rsid w:val="00C65CD4"/>
    <w:rsid w:val="00C66529"/>
    <w:rsid w:val="00C6690E"/>
    <w:rsid w:val="00C66F77"/>
    <w:rsid w:val="00C6730F"/>
    <w:rsid w:val="00C67391"/>
    <w:rsid w:val="00C67632"/>
    <w:rsid w:val="00C677FC"/>
    <w:rsid w:val="00C7052C"/>
    <w:rsid w:val="00C70903"/>
    <w:rsid w:val="00C70A9A"/>
    <w:rsid w:val="00C70D04"/>
    <w:rsid w:val="00C70E61"/>
    <w:rsid w:val="00C710F2"/>
    <w:rsid w:val="00C71167"/>
    <w:rsid w:val="00C7147B"/>
    <w:rsid w:val="00C717BF"/>
    <w:rsid w:val="00C718E9"/>
    <w:rsid w:val="00C71EE0"/>
    <w:rsid w:val="00C71F14"/>
    <w:rsid w:val="00C7226A"/>
    <w:rsid w:val="00C724DB"/>
    <w:rsid w:val="00C72768"/>
    <w:rsid w:val="00C729C3"/>
    <w:rsid w:val="00C72CB2"/>
    <w:rsid w:val="00C732A4"/>
    <w:rsid w:val="00C737D9"/>
    <w:rsid w:val="00C73A09"/>
    <w:rsid w:val="00C73E0C"/>
    <w:rsid w:val="00C73E8C"/>
    <w:rsid w:val="00C74208"/>
    <w:rsid w:val="00C7428A"/>
    <w:rsid w:val="00C74538"/>
    <w:rsid w:val="00C74753"/>
    <w:rsid w:val="00C74A69"/>
    <w:rsid w:val="00C74E4D"/>
    <w:rsid w:val="00C750D5"/>
    <w:rsid w:val="00C750E7"/>
    <w:rsid w:val="00C7532A"/>
    <w:rsid w:val="00C7569D"/>
    <w:rsid w:val="00C75C3C"/>
    <w:rsid w:val="00C7622D"/>
    <w:rsid w:val="00C767B8"/>
    <w:rsid w:val="00C7696A"/>
    <w:rsid w:val="00C76B6A"/>
    <w:rsid w:val="00C76FE3"/>
    <w:rsid w:val="00C77027"/>
    <w:rsid w:val="00C774BB"/>
    <w:rsid w:val="00C778CA"/>
    <w:rsid w:val="00C77D08"/>
    <w:rsid w:val="00C77F38"/>
    <w:rsid w:val="00C77F6C"/>
    <w:rsid w:val="00C80349"/>
    <w:rsid w:val="00C8034F"/>
    <w:rsid w:val="00C809BB"/>
    <w:rsid w:val="00C80CA8"/>
    <w:rsid w:val="00C80E16"/>
    <w:rsid w:val="00C81083"/>
    <w:rsid w:val="00C8137B"/>
    <w:rsid w:val="00C8166E"/>
    <w:rsid w:val="00C8171F"/>
    <w:rsid w:val="00C81A72"/>
    <w:rsid w:val="00C81BFA"/>
    <w:rsid w:val="00C81C06"/>
    <w:rsid w:val="00C81C67"/>
    <w:rsid w:val="00C81D0F"/>
    <w:rsid w:val="00C823F2"/>
    <w:rsid w:val="00C82629"/>
    <w:rsid w:val="00C827B7"/>
    <w:rsid w:val="00C829FC"/>
    <w:rsid w:val="00C82CE2"/>
    <w:rsid w:val="00C82CF6"/>
    <w:rsid w:val="00C82D25"/>
    <w:rsid w:val="00C82DB3"/>
    <w:rsid w:val="00C832DB"/>
    <w:rsid w:val="00C83804"/>
    <w:rsid w:val="00C8384F"/>
    <w:rsid w:val="00C8401E"/>
    <w:rsid w:val="00C840F8"/>
    <w:rsid w:val="00C844AA"/>
    <w:rsid w:val="00C845B8"/>
    <w:rsid w:val="00C84703"/>
    <w:rsid w:val="00C84746"/>
    <w:rsid w:val="00C84E79"/>
    <w:rsid w:val="00C84F34"/>
    <w:rsid w:val="00C85064"/>
    <w:rsid w:val="00C8537C"/>
    <w:rsid w:val="00C8541E"/>
    <w:rsid w:val="00C85EE5"/>
    <w:rsid w:val="00C86446"/>
    <w:rsid w:val="00C864B2"/>
    <w:rsid w:val="00C864E6"/>
    <w:rsid w:val="00C86521"/>
    <w:rsid w:val="00C86888"/>
    <w:rsid w:val="00C872AA"/>
    <w:rsid w:val="00C872F9"/>
    <w:rsid w:val="00C87B7E"/>
    <w:rsid w:val="00C87C7F"/>
    <w:rsid w:val="00C87EA8"/>
    <w:rsid w:val="00C901DA"/>
    <w:rsid w:val="00C903A2"/>
    <w:rsid w:val="00C904C6"/>
    <w:rsid w:val="00C9063B"/>
    <w:rsid w:val="00C90AAB"/>
    <w:rsid w:val="00C90DD5"/>
    <w:rsid w:val="00C914F7"/>
    <w:rsid w:val="00C9170C"/>
    <w:rsid w:val="00C91745"/>
    <w:rsid w:val="00C91FBD"/>
    <w:rsid w:val="00C9298B"/>
    <w:rsid w:val="00C93156"/>
    <w:rsid w:val="00C932C4"/>
    <w:rsid w:val="00C93387"/>
    <w:rsid w:val="00C93A91"/>
    <w:rsid w:val="00C93CA8"/>
    <w:rsid w:val="00C941A2"/>
    <w:rsid w:val="00C94840"/>
    <w:rsid w:val="00C94956"/>
    <w:rsid w:val="00C94AEB"/>
    <w:rsid w:val="00C952F4"/>
    <w:rsid w:val="00C955BC"/>
    <w:rsid w:val="00C961A7"/>
    <w:rsid w:val="00C96319"/>
    <w:rsid w:val="00C964B3"/>
    <w:rsid w:val="00C965CF"/>
    <w:rsid w:val="00C965F1"/>
    <w:rsid w:val="00C9692C"/>
    <w:rsid w:val="00C96A24"/>
    <w:rsid w:val="00C96C05"/>
    <w:rsid w:val="00C96CB8"/>
    <w:rsid w:val="00C96D84"/>
    <w:rsid w:val="00C9783D"/>
    <w:rsid w:val="00CA01FF"/>
    <w:rsid w:val="00CA0489"/>
    <w:rsid w:val="00CA064C"/>
    <w:rsid w:val="00CA0701"/>
    <w:rsid w:val="00CA0F5D"/>
    <w:rsid w:val="00CA13AA"/>
    <w:rsid w:val="00CA20CD"/>
    <w:rsid w:val="00CA2A86"/>
    <w:rsid w:val="00CA319B"/>
    <w:rsid w:val="00CA347B"/>
    <w:rsid w:val="00CA378F"/>
    <w:rsid w:val="00CA38A3"/>
    <w:rsid w:val="00CA3C10"/>
    <w:rsid w:val="00CA3ED9"/>
    <w:rsid w:val="00CA45C4"/>
    <w:rsid w:val="00CA470C"/>
    <w:rsid w:val="00CA471F"/>
    <w:rsid w:val="00CA4A61"/>
    <w:rsid w:val="00CA4AB1"/>
    <w:rsid w:val="00CA51A6"/>
    <w:rsid w:val="00CA5427"/>
    <w:rsid w:val="00CA55A9"/>
    <w:rsid w:val="00CA5AEB"/>
    <w:rsid w:val="00CA5DA1"/>
    <w:rsid w:val="00CA66A9"/>
    <w:rsid w:val="00CA690A"/>
    <w:rsid w:val="00CA6C9E"/>
    <w:rsid w:val="00CA6D67"/>
    <w:rsid w:val="00CA6FCC"/>
    <w:rsid w:val="00CA7494"/>
    <w:rsid w:val="00CA74A9"/>
    <w:rsid w:val="00CA7AFD"/>
    <w:rsid w:val="00CA7FF9"/>
    <w:rsid w:val="00CB028D"/>
    <w:rsid w:val="00CB0B6A"/>
    <w:rsid w:val="00CB13A5"/>
    <w:rsid w:val="00CB16B0"/>
    <w:rsid w:val="00CB1CF8"/>
    <w:rsid w:val="00CB2171"/>
    <w:rsid w:val="00CB253C"/>
    <w:rsid w:val="00CB2D9F"/>
    <w:rsid w:val="00CB3043"/>
    <w:rsid w:val="00CB389F"/>
    <w:rsid w:val="00CB3BC8"/>
    <w:rsid w:val="00CB40BB"/>
    <w:rsid w:val="00CB4139"/>
    <w:rsid w:val="00CB41AE"/>
    <w:rsid w:val="00CB41BB"/>
    <w:rsid w:val="00CB434E"/>
    <w:rsid w:val="00CB4682"/>
    <w:rsid w:val="00CB480B"/>
    <w:rsid w:val="00CB4991"/>
    <w:rsid w:val="00CB4A34"/>
    <w:rsid w:val="00CB4BCB"/>
    <w:rsid w:val="00CB4E4F"/>
    <w:rsid w:val="00CB4F83"/>
    <w:rsid w:val="00CB531F"/>
    <w:rsid w:val="00CB5338"/>
    <w:rsid w:val="00CB548F"/>
    <w:rsid w:val="00CB58DB"/>
    <w:rsid w:val="00CB59A1"/>
    <w:rsid w:val="00CB5D51"/>
    <w:rsid w:val="00CB605A"/>
    <w:rsid w:val="00CB63DF"/>
    <w:rsid w:val="00CB6E27"/>
    <w:rsid w:val="00CB72EC"/>
    <w:rsid w:val="00CB773D"/>
    <w:rsid w:val="00CB7BE0"/>
    <w:rsid w:val="00CB7D9B"/>
    <w:rsid w:val="00CB7F31"/>
    <w:rsid w:val="00CC021C"/>
    <w:rsid w:val="00CC0555"/>
    <w:rsid w:val="00CC08F3"/>
    <w:rsid w:val="00CC0E7F"/>
    <w:rsid w:val="00CC0EC9"/>
    <w:rsid w:val="00CC1108"/>
    <w:rsid w:val="00CC15B1"/>
    <w:rsid w:val="00CC1854"/>
    <w:rsid w:val="00CC185D"/>
    <w:rsid w:val="00CC1C1A"/>
    <w:rsid w:val="00CC1E1A"/>
    <w:rsid w:val="00CC29A8"/>
    <w:rsid w:val="00CC29E3"/>
    <w:rsid w:val="00CC2AA2"/>
    <w:rsid w:val="00CC31CD"/>
    <w:rsid w:val="00CC37EF"/>
    <w:rsid w:val="00CC3871"/>
    <w:rsid w:val="00CC3A9B"/>
    <w:rsid w:val="00CC3CB1"/>
    <w:rsid w:val="00CC3F31"/>
    <w:rsid w:val="00CC4142"/>
    <w:rsid w:val="00CC4328"/>
    <w:rsid w:val="00CC434B"/>
    <w:rsid w:val="00CC46B2"/>
    <w:rsid w:val="00CC49F0"/>
    <w:rsid w:val="00CC4C03"/>
    <w:rsid w:val="00CC52A6"/>
    <w:rsid w:val="00CC5496"/>
    <w:rsid w:val="00CC5C18"/>
    <w:rsid w:val="00CC5CFB"/>
    <w:rsid w:val="00CC617F"/>
    <w:rsid w:val="00CC6483"/>
    <w:rsid w:val="00CC6A72"/>
    <w:rsid w:val="00CC6E58"/>
    <w:rsid w:val="00CC6EDC"/>
    <w:rsid w:val="00CC74D5"/>
    <w:rsid w:val="00CC74E6"/>
    <w:rsid w:val="00CC75F8"/>
    <w:rsid w:val="00CC7876"/>
    <w:rsid w:val="00CC7E69"/>
    <w:rsid w:val="00CC7F8E"/>
    <w:rsid w:val="00CD024E"/>
    <w:rsid w:val="00CD0261"/>
    <w:rsid w:val="00CD0724"/>
    <w:rsid w:val="00CD0825"/>
    <w:rsid w:val="00CD084A"/>
    <w:rsid w:val="00CD1427"/>
    <w:rsid w:val="00CD1585"/>
    <w:rsid w:val="00CD180E"/>
    <w:rsid w:val="00CD18B9"/>
    <w:rsid w:val="00CD1991"/>
    <w:rsid w:val="00CD1EE7"/>
    <w:rsid w:val="00CD238E"/>
    <w:rsid w:val="00CD2663"/>
    <w:rsid w:val="00CD27F2"/>
    <w:rsid w:val="00CD28A2"/>
    <w:rsid w:val="00CD2BDC"/>
    <w:rsid w:val="00CD2E2C"/>
    <w:rsid w:val="00CD2EBF"/>
    <w:rsid w:val="00CD30D8"/>
    <w:rsid w:val="00CD3226"/>
    <w:rsid w:val="00CD3432"/>
    <w:rsid w:val="00CD34AA"/>
    <w:rsid w:val="00CD352A"/>
    <w:rsid w:val="00CD354E"/>
    <w:rsid w:val="00CD43CE"/>
    <w:rsid w:val="00CD458D"/>
    <w:rsid w:val="00CD4A21"/>
    <w:rsid w:val="00CD4A63"/>
    <w:rsid w:val="00CD4CA2"/>
    <w:rsid w:val="00CD4CCF"/>
    <w:rsid w:val="00CD55C2"/>
    <w:rsid w:val="00CD587F"/>
    <w:rsid w:val="00CD591C"/>
    <w:rsid w:val="00CD5EC6"/>
    <w:rsid w:val="00CD695A"/>
    <w:rsid w:val="00CD69EC"/>
    <w:rsid w:val="00CD6A93"/>
    <w:rsid w:val="00CD6D38"/>
    <w:rsid w:val="00CD6D70"/>
    <w:rsid w:val="00CD767A"/>
    <w:rsid w:val="00CD7847"/>
    <w:rsid w:val="00CD7929"/>
    <w:rsid w:val="00CD793B"/>
    <w:rsid w:val="00CD7B32"/>
    <w:rsid w:val="00CE074F"/>
    <w:rsid w:val="00CE0BA3"/>
    <w:rsid w:val="00CE0D11"/>
    <w:rsid w:val="00CE0E54"/>
    <w:rsid w:val="00CE1923"/>
    <w:rsid w:val="00CE1C2F"/>
    <w:rsid w:val="00CE2081"/>
    <w:rsid w:val="00CE2082"/>
    <w:rsid w:val="00CE2483"/>
    <w:rsid w:val="00CE2605"/>
    <w:rsid w:val="00CE293F"/>
    <w:rsid w:val="00CE306C"/>
    <w:rsid w:val="00CE3299"/>
    <w:rsid w:val="00CE38D4"/>
    <w:rsid w:val="00CE3CB6"/>
    <w:rsid w:val="00CE47E2"/>
    <w:rsid w:val="00CE47F8"/>
    <w:rsid w:val="00CE4CF4"/>
    <w:rsid w:val="00CE4E44"/>
    <w:rsid w:val="00CE51F3"/>
    <w:rsid w:val="00CE5856"/>
    <w:rsid w:val="00CE658E"/>
    <w:rsid w:val="00CE6616"/>
    <w:rsid w:val="00CE6B00"/>
    <w:rsid w:val="00CE734A"/>
    <w:rsid w:val="00CE772C"/>
    <w:rsid w:val="00CE798B"/>
    <w:rsid w:val="00CE7B3C"/>
    <w:rsid w:val="00CF0082"/>
    <w:rsid w:val="00CF0290"/>
    <w:rsid w:val="00CF034B"/>
    <w:rsid w:val="00CF048A"/>
    <w:rsid w:val="00CF04A9"/>
    <w:rsid w:val="00CF065E"/>
    <w:rsid w:val="00CF0A0E"/>
    <w:rsid w:val="00CF0A36"/>
    <w:rsid w:val="00CF0C9A"/>
    <w:rsid w:val="00CF1339"/>
    <w:rsid w:val="00CF1513"/>
    <w:rsid w:val="00CF15B0"/>
    <w:rsid w:val="00CF1B70"/>
    <w:rsid w:val="00CF1D95"/>
    <w:rsid w:val="00CF2091"/>
    <w:rsid w:val="00CF20EE"/>
    <w:rsid w:val="00CF2308"/>
    <w:rsid w:val="00CF2380"/>
    <w:rsid w:val="00CF2462"/>
    <w:rsid w:val="00CF25E3"/>
    <w:rsid w:val="00CF2671"/>
    <w:rsid w:val="00CF268F"/>
    <w:rsid w:val="00CF2877"/>
    <w:rsid w:val="00CF2FB7"/>
    <w:rsid w:val="00CF3237"/>
    <w:rsid w:val="00CF35F0"/>
    <w:rsid w:val="00CF3B1D"/>
    <w:rsid w:val="00CF3C39"/>
    <w:rsid w:val="00CF47A2"/>
    <w:rsid w:val="00CF47F8"/>
    <w:rsid w:val="00CF487B"/>
    <w:rsid w:val="00CF4ABC"/>
    <w:rsid w:val="00CF4F0F"/>
    <w:rsid w:val="00CF512C"/>
    <w:rsid w:val="00CF58BE"/>
    <w:rsid w:val="00CF5EAE"/>
    <w:rsid w:val="00CF5F0F"/>
    <w:rsid w:val="00CF61E2"/>
    <w:rsid w:val="00CF62B2"/>
    <w:rsid w:val="00CF62CE"/>
    <w:rsid w:val="00CF6DD4"/>
    <w:rsid w:val="00CF6FC2"/>
    <w:rsid w:val="00CF7438"/>
    <w:rsid w:val="00CF79E0"/>
    <w:rsid w:val="00CF7BA5"/>
    <w:rsid w:val="00CF7BB5"/>
    <w:rsid w:val="00CF7C2C"/>
    <w:rsid w:val="00D00049"/>
    <w:rsid w:val="00D0036C"/>
    <w:rsid w:val="00D00604"/>
    <w:rsid w:val="00D00997"/>
    <w:rsid w:val="00D009CA"/>
    <w:rsid w:val="00D00B9B"/>
    <w:rsid w:val="00D00F93"/>
    <w:rsid w:val="00D00FD4"/>
    <w:rsid w:val="00D013E8"/>
    <w:rsid w:val="00D01649"/>
    <w:rsid w:val="00D0206E"/>
    <w:rsid w:val="00D020E1"/>
    <w:rsid w:val="00D027E2"/>
    <w:rsid w:val="00D0315E"/>
    <w:rsid w:val="00D0342D"/>
    <w:rsid w:val="00D03ACC"/>
    <w:rsid w:val="00D03F72"/>
    <w:rsid w:val="00D042E4"/>
    <w:rsid w:val="00D044F7"/>
    <w:rsid w:val="00D0452C"/>
    <w:rsid w:val="00D0454F"/>
    <w:rsid w:val="00D04637"/>
    <w:rsid w:val="00D04AA4"/>
    <w:rsid w:val="00D04B45"/>
    <w:rsid w:val="00D054BA"/>
    <w:rsid w:val="00D059E7"/>
    <w:rsid w:val="00D05B79"/>
    <w:rsid w:val="00D06120"/>
    <w:rsid w:val="00D063BC"/>
    <w:rsid w:val="00D063CD"/>
    <w:rsid w:val="00D063E8"/>
    <w:rsid w:val="00D0693F"/>
    <w:rsid w:val="00D06B4E"/>
    <w:rsid w:val="00D06E57"/>
    <w:rsid w:val="00D06F53"/>
    <w:rsid w:val="00D070CC"/>
    <w:rsid w:val="00D07158"/>
    <w:rsid w:val="00D072AB"/>
    <w:rsid w:val="00D07453"/>
    <w:rsid w:val="00D07B33"/>
    <w:rsid w:val="00D07B8B"/>
    <w:rsid w:val="00D07C10"/>
    <w:rsid w:val="00D07D79"/>
    <w:rsid w:val="00D07E7E"/>
    <w:rsid w:val="00D100F1"/>
    <w:rsid w:val="00D102D4"/>
    <w:rsid w:val="00D10A4A"/>
    <w:rsid w:val="00D10D6E"/>
    <w:rsid w:val="00D11000"/>
    <w:rsid w:val="00D11085"/>
    <w:rsid w:val="00D11149"/>
    <w:rsid w:val="00D11296"/>
    <w:rsid w:val="00D11A3E"/>
    <w:rsid w:val="00D1228F"/>
    <w:rsid w:val="00D12561"/>
    <w:rsid w:val="00D12D34"/>
    <w:rsid w:val="00D12DAF"/>
    <w:rsid w:val="00D13229"/>
    <w:rsid w:val="00D1426C"/>
    <w:rsid w:val="00D146F3"/>
    <w:rsid w:val="00D14735"/>
    <w:rsid w:val="00D1479B"/>
    <w:rsid w:val="00D14A52"/>
    <w:rsid w:val="00D14FF4"/>
    <w:rsid w:val="00D15987"/>
    <w:rsid w:val="00D15AE3"/>
    <w:rsid w:val="00D15B71"/>
    <w:rsid w:val="00D15CE2"/>
    <w:rsid w:val="00D15D5A"/>
    <w:rsid w:val="00D15DBF"/>
    <w:rsid w:val="00D1643C"/>
    <w:rsid w:val="00D16C71"/>
    <w:rsid w:val="00D16D47"/>
    <w:rsid w:val="00D1720A"/>
    <w:rsid w:val="00D17A5B"/>
    <w:rsid w:val="00D17FCA"/>
    <w:rsid w:val="00D20147"/>
    <w:rsid w:val="00D20B45"/>
    <w:rsid w:val="00D20F25"/>
    <w:rsid w:val="00D21298"/>
    <w:rsid w:val="00D2129E"/>
    <w:rsid w:val="00D218C3"/>
    <w:rsid w:val="00D21C88"/>
    <w:rsid w:val="00D21CAC"/>
    <w:rsid w:val="00D232A6"/>
    <w:rsid w:val="00D23519"/>
    <w:rsid w:val="00D23550"/>
    <w:rsid w:val="00D23B52"/>
    <w:rsid w:val="00D23D40"/>
    <w:rsid w:val="00D2416B"/>
    <w:rsid w:val="00D244BD"/>
    <w:rsid w:val="00D245E5"/>
    <w:rsid w:val="00D246D8"/>
    <w:rsid w:val="00D248E1"/>
    <w:rsid w:val="00D2492E"/>
    <w:rsid w:val="00D24A6E"/>
    <w:rsid w:val="00D24A8C"/>
    <w:rsid w:val="00D24B3B"/>
    <w:rsid w:val="00D24D78"/>
    <w:rsid w:val="00D24EC4"/>
    <w:rsid w:val="00D2529A"/>
    <w:rsid w:val="00D25385"/>
    <w:rsid w:val="00D254CF"/>
    <w:rsid w:val="00D25665"/>
    <w:rsid w:val="00D257CE"/>
    <w:rsid w:val="00D25AF3"/>
    <w:rsid w:val="00D25D37"/>
    <w:rsid w:val="00D26031"/>
    <w:rsid w:val="00D262D1"/>
    <w:rsid w:val="00D26457"/>
    <w:rsid w:val="00D264C0"/>
    <w:rsid w:val="00D264D5"/>
    <w:rsid w:val="00D264DD"/>
    <w:rsid w:val="00D26F35"/>
    <w:rsid w:val="00D26F7A"/>
    <w:rsid w:val="00D270BA"/>
    <w:rsid w:val="00D27153"/>
    <w:rsid w:val="00D271DF"/>
    <w:rsid w:val="00D271E0"/>
    <w:rsid w:val="00D27345"/>
    <w:rsid w:val="00D27905"/>
    <w:rsid w:val="00D27ACF"/>
    <w:rsid w:val="00D27BF5"/>
    <w:rsid w:val="00D27F23"/>
    <w:rsid w:val="00D27F28"/>
    <w:rsid w:val="00D27FF1"/>
    <w:rsid w:val="00D30140"/>
    <w:rsid w:val="00D30737"/>
    <w:rsid w:val="00D30CFE"/>
    <w:rsid w:val="00D31559"/>
    <w:rsid w:val="00D31C48"/>
    <w:rsid w:val="00D31DEA"/>
    <w:rsid w:val="00D3207A"/>
    <w:rsid w:val="00D32236"/>
    <w:rsid w:val="00D33020"/>
    <w:rsid w:val="00D33211"/>
    <w:rsid w:val="00D335F1"/>
    <w:rsid w:val="00D338A5"/>
    <w:rsid w:val="00D33A0B"/>
    <w:rsid w:val="00D33FA8"/>
    <w:rsid w:val="00D34026"/>
    <w:rsid w:val="00D341A9"/>
    <w:rsid w:val="00D342ED"/>
    <w:rsid w:val="00D34594"/>
    <w:rsid w:val="00D349FE"/>
    <w:rsid w:val="00D34CBA"/>
    <w:rsid w:val="00D34D7B"/>
    <w:rsid w:val="00D3520A"/>
    <w:rsid w:val="00D35246"/>
    <w:rsid w:val="00D35853"/>
    <w:rsid w:val="00D36512"/>
    <w:rsid w:val="00D3669D"/>
    <w:rsid w:val="00D36911"/>
    <w:rsid w:val="00D36B9C"/>
    <w:rsid w:val="00D36DC8"/>
    <w:rsid w:val="00D36F32"/>
    <w:rsid w:val="00D371D7"/>
    <w:rsid w:val="00D37528"/>
    <w:rsid w:val="00D3779B"/>
    <w:rsid w:val="00D400B4"/>
    <w:rsid w:val="00D400E9"/>
    <w:rsid w:val="00D40319"/>
    <w:rsid w:val="00D405CE"/>
    <w:rsid w:val="00D406F6"/>
    <w:rsid w:val="00D4098F"/>
    <w:rsid w:val="00D40A09"/>
    <w:rsid w:val="00D40CE1"/>
    <w:rsid w:val="00D40FD9"/>
    <w:rsid w:val="00D4127F"/>
    <w:rsid w:val="00D419D4"/>
    <w:rsid w:val="00D41D91"/>
    <w:rsid w:val="00D426BA"/>
    <w:rsid w:val="00D434C1"/>
    <w:rsid w:val="00D440F2"/>
    <w:rsid w:val="00D443E4"/>
    <w:rsid w:val="00D444BF"/>
    <w:rsid w:val="00D4459F"/>
    <w:rsid w:val="00D44776"/>
    <w:rsid w:val="00D447A4"/>
    <w:rsid w:val="00D448C7"/>
    <w:rsid w:val="00D44C44"/>
    <w:rsid w:val="00D45477"/>
    <w:rsid w:val="00D45807"/>
    <w:rsid w:val="00D45C2E"/>
    <w:rsid w:val="00D45D98"/>
    <w:rsid w:val="00D4617F"/>
    <w:rsid w:val="00D4625A"/>
    <w:rsid w:val="00D463B3"/>
    <w:rsid w:val="00D4680E"/>
    <w:rsid w:val="00D469D0"/>
    <w:rsid w:val="00D46E19"/>
    <w:rsid w:val="00D47277"/>
    <w:rsid w:val="00D472E2"/>
    <w:rsid w:val="00D4731A"/>
    <w:rsid w:val="00D47613"/>
    <w:rsid w:val="00D4780A"/>
    <w:rsid w:val="00D47933"/>
    <w:rsid w:val="00D47BFB"/>
    <w:rsid w:val="00D500EC"/>
    <w:rsid w:val="00D5024D"/>
    <w:rsid w:val="00D50348"/>
    <w:rsid w:val="00D509FE"/>
    <w:rsid w:val="00D50F6F"/>
    <w:rsid w:val="00D512DF"/>
    <w:rsid w:val="00D51498"/>
    <w:rsid w:val="00D51568"/>
    <w:rsid w:val="00D517F6"/>
    <w:rsid w:val="00D52015"/>
    <w:rsid w:val="00D521FD"/>
    <w:rsid w:val="00D52450"/>
    <w:rsid w:val="00D52760"/>
    <w:rsid w:val="00D52CB7"/>
    <w:rsid w:val="00D52E7D"/>
    <w:rsid w:val="00D533FF"/>
    <w:rsid w:val="00D53603"/>
    <w:rsid w:val="00D53667"/>
    <w:rsid w:val="00D53AC2"/>
    <w:rsid w:val="00D53C26"/>
    <w:rsid w:val="00D54061"/>
    <w:rsid w:val="00D5434F"/>
    <w:rsid w:val="00D54DE9"/>
    <w:rsid w:val="00D54E0E"/>
    <w:rsid w:val="00D55304"/>
    <w:rsid w:val="00D55306"/>
    <w:rsid w:val="00D553B5"/>
    <w:rsid w:val="00D5560C"/>
    <w:rsid w:val="00D55780"/>
    <w:rsid w:val="00D55782"/>
    <w:rsid w:val="00D55AA6"/>
    <w:rsid w:val="00D55C1D"/>
    <w:rsid w:val="00D55C61"/>
    <w:rsid w:val="00D55C77"/>
    <w:rsid w:val="00D55D5B"/>
    <w:rsid w:val="00D55D94"/>
    <w:rsid w:val="00D5601B"/>
    <w:rsid w:val="00D56179"/>
    <w:rsid w:val="00D56A3A"/>
    <w:rsid w:val="00D56D81"/>
    <w:rsid w:val="00D570B0"/>
    <w:rsid w:val="00D570D7"/>
    <w:rsid w:val="00D575A0"/>
    <w:rsid w:val="00D577FA"/>
    <w:rsid w:val="00D57912"/>
    <w:rsid w:val="00D57B5C"/>
    <w:rsid w:val="00D57C57"/>
    <w:rsid w:val="00D57D24"/>
    <w:rsid w:val="00D57E05"/>
    <w:rsid w:val="00D60527"/>
    <w:rsid w:val="00D6056D"/>
    <w:rsid w:val="00D60571"/>
    <w:rsid w:val="00D6091D"/>
    <w:rsid w:val="00D60A9D"/>
    <w:rsid w:val="00D60C9E"/>
    <w:rsid w:val="00D60E28"/>
    <w:rsid w:val="00D60FD0"/>
    <w:rsid w:val="00D6114F"/>
    <w:rsid w:val="00D61D9C"/>
    <w:rsid w:val="00D61E06"/>
    <w:rsid w:val="00D62094"/>
    <w:rsid w:val="00D62226"/>
    <w:rsid w:val="00D62E87"/>
    <w:rsid w:val="00D63086"/>
    <w:rsid w:val="00D63545"/>
    <w:rsid w:val="00D63B26"/>
    <w:rsid w:val="00D63C5C"/>
    <w:rsid w:val="00D63C94"/>
    <w:rsid w:val="00D646B4"/>
    <w:rsid w:val="00D64C53"/>
    <w:rsid w:val="00D655C6"/>
    <w:rsid w:val="00D658B0"/>
    <w:rsid w:val="00D659C6"/>
    <w:rsid w:val="00D65B23"/>
    <w:rsid w:val="00D66758"/>
    <w:rsid w:val="00D66DD3"/>
    <w:rsid w:val="00D66EA6"/>
    <w:rsid w:val="00D6760A"/>
    <w:rsid w:val="00D67650"/>
    <w:rsid w:val="00D679F4"/>
    <w:rsid w:val="00D67ABF"/>
    <w:rsid w:val="00D67CE5"/>
    <w:rsid w:val="00D70194"/>
    <w:rsid w:val="00D70670"/>
    <w:rsid w:val="00D70A1C"/>
    <w:rsid w:val="00D70A7F"/>
    <w:rsid w:val="00D71151"/>
    <w:rsid w:val="00D72096"/>
    <w:rsid w:val="00D72098"/>
    <w:rsid w:val="00D722A2"/>
    <w:rsid w:val="00D72B72"/>
    <w:rsid w:val="00D72F1E"/>
    <w:rsid w:val="00D73160"/>
    <w:rsid w:val="00D737F3"/>
    <w:rsid w:val="00D73C3A"/>
    <w:rsid w:val="00D73F2C"/>
    <w:rsid w:val="00D74168"/>
    <w:rsid w:val="00D742ED"/>
    <w:rsid w:val="00D744C1"/>
    <w:rsid w:val="00D74D64"/>
    <w:rsid w:val="00D7502B"/>
    <w:rsid w:val="00D7533B"/>
    <w:rsid w:val="00D75744"/>
    <w:rsid w:val="00D75AEE"/>
    <w:rsid w:val="00D75C9D"/>
    <w:rsid w:val="00D76785"/>
    <w:rsid w:val="00D76825"/>
    <w:rsid w:val="00D76999"/>
    <w:rsid w:val="00D76A0C"/>
    <w:rsid w:val="00D76CDA"/>
    <w:rsid w:val="00D76D25"/>
    <w:rsid w:val="00D76D94"/>
    <w:rsid w:val="00D76FDA"/>
    <w:rsid w:val="00D77A57"/>
    <w:rsid w:val="00D77C08"/>
    <w:rsid w:val="00D8041F"/>
    <w:rsid w:val="00D80948"/>
    <w:rsid w:val="00D80BA3"/>
    <w:rsid w:val="00D80F8F"/>
    <w:rsid w:val="00D8124C"/>
    <w:rsid w:val="00D81319"/>
    <w:rsid w:val="00D8160C"/>
    <w:rsid w:val="00D8162C"/>
    <w:rsid w:val="00D818BE"/>
    <w:rsid w:val="00D81C69"/>
    <w:rsid w:val="00D81F7B"/>
    <w:rsid w:val="00D82880"/>
    <w:rsid w:val="00D82A86"/>
    <w:rsid w:val="00D82BB0"/>
    <w:rsid w:val="00D8350B"/>
    <w:rsid w:val="00D83737"/>
    <w:rsid w:val="00D83A28"/>
    <w:rsid w:val="00D84249"/>
    <w:rsid w:val="00D844F7"/>
    <w:rsid w:val="00D84737"/>
    <w:rsid w:val="00D84A2F"/>
    <w:rsid w:val="00D8531C"/>
    <w:rsid w:val="00D85389"/>
    <w:rsid w:val="00D862EA"/>
    <w:rsid w:val="00D86687"/>
    <w:rsid w:val="00D87397"/>
    <w:rsid w:val="00D87825"/>
    <w:rsid w:val="00D879E5"/>
    <w:rsid w:val="00D87C1A"/>
    <w:rsid w:val="00D87CB9"/>
    <w:rsid w:val="00D87CF5"/>
    <w:rsid w:val="00D87E24"/>
    <w:rsid w:val="00D90163"/>
    <w:rsid w:val="00D90A43"/>
    <w:rsid w:val="00D90F45"/>
    <w:rsid w:val="00D9113F"/>
    <w:rsid w:val="00D91474"/>
    <w:rsid w:val="00D915A7"/>
    <w:rsid w:val="00D91B0F"/>
    <w:rsid w:val="00D91FF9"/>
    <w:rsid w:val="00D921DA"/>
    <w:rsid w:val="00D92604"/>
    <w:rsid w:val="00D936DC"/>
    <w:rsid w:val="00D9480B"/>
    <w:rsid w:val="00D948ED"/>
    <w:rsid w:val="00D94A48"/>
    <w:rsid w:val="00D94C2A"/>
    <w:rsid w:val="00D94C78"/>
    <w:rsid w:val="00D94EAE"/>
    <w:rsid w:val="00D951C4"/>
    <w:rsid w:val="00D95703"/>
    <w:rsid w:val="00D9600D"/>
    <w:rsid w:val="00D9653B"/>
    <w:rsid w:val="00D96547"/>
    <w:rsid w:val="00D96976"/>
    <w:rsid w:val="00D96CAF"/>
    <w:rsid w:val="00D96F9A"/>
    <w:rsid w:val="00D9716D"/>
    <w:rsid w:val="00D9760C"/>
    <w:rsid w:val="00D977E7"/>
    <w:rsid w:val="00D977F0"/>
    <w:rsid w:val="00D97B75"/>
    <w:rsid w:val="00D97BFE"/>
    <w:rsid w:val="00D97C78"/>
    <w:rsid w:val="00D97F69"/>
    <w:rsid w:val="00DA0377"/>
    <w:rsid w:val="00DA10B4"/>
    <w:rsid w:val="00DA141C"/>
    <w:rsid w:val="00DA1472"/>
    <w:rsid w:val="00DA184C"/>
    <w:rsid w:val="00DA1A28"/>
    <w:rsid w:val="00DA1EC9"/>
    <w:rsid w:val="00DA1EE2"/>
    <w:rsid w:val="00DA21A6"/>
    <w:rsid w:val="00DA2E51"/>
    <w:rsid w:val="00DA30E8"/>
    <w:rsid w:val="00DA36FF"/>
    <w:rsid w:val="00DA37A1"/>
    <w:rsid w:val="00DA37DA"/>
    <w:rsid w:val="00DA38E3"/>
    <w:rsid w:val="00DA3C61"/>
    <w:rsid w:val="00DA3F69"/>
    <w:rsid w:val="00DA48C4"/>
    <w:rsid w:val="00DA49A2"/>
    <w:rsid w:val="00DA4A04"/>
    <w:rsid w:val="00DA4F7B"/>
    <w:rsid w:val="00DA4F8E"/>
    <w:rsid w:val="00DA5692"/>
    <w:rsid w:val="00DA580B"/>
    <w:rsid w:val="00DA5B52"/>
    <w:rsid w:val="00DA601A"/>
    <w:rsid w:val="00DA607B"/>
    <w:rsid w:val="00DA60FA"/>
    <w:rsid w:val="00DA62DB"/>
    <w:rsid w:val="00DA6420"/>
    <w:rsid w:val="00DA64A4"/>
    <w:rsid w:val="00DA64F8"/>
    <w:rsid w:val="00DA6C38"/>
    <w:rsid w:val="00DA6D4A"/>
    <w:rsid w:val="00DA7480"/>
    <w:rsid w:val="00DA767D"/>
    <w:rsid w:val="00DA7DFC"/>
    <w:rsid w:val="00DB028B"/>
    <w:rsid w:val="00DB0917"/>
    <w:rsid w:val="00DB094E"/>
    <w:rsid w:val="00DB0B39"/>
    <w:rsid w:val="00DB0C21"/>
    <w:rsid w:val="00DB12D2"/>
    <w:rsid w:val="00DB187F"/>
    <w:rsid w:val="00DB1D3D"/>
    <w:rsid w:val="00DB25F1"/>
    <w:rsid w:val="00DB2C7C"/>
    <w:rsid w:val="00DB2DE6"/>
    <w:rsid w:val="00DB2F1E"/>
    <w:rsid w:val="00DB2F51"/>
    <w:rsid w:val="00DB37A9"/>
    <w:rsid w:val="00DB3A8A"/>
    <w:rsid w:val="00DB3BAA"/>
    <w:rsid w:val="00DB3D57"/>
    <w:rsid w:val="00DB3E73"/>
    <w:rsid w:val="00DB414C"/>
    <w:rsid w:val="00DB4392"/>
    <w:rsid w:val="00DB44F7"/>
    <w:rsid w:val="00DB4D2E"/>
    <w:rsid w:val="00DB4EC2"/>
    <w:rsid w:val="00DB5C04"/>
    <w:rsid w:val="00DB63EB"/>
    <w:rsid w:val="00DB655C"/>
    <w:rsid w:val="00DB6768"/>
    <w:rsid w:val="00DB6D01"/>
    <w:rsid w:val="00DB6FA9"/>
    <w:rsid w:val="00DB6FFE"/>
    <w:rsid w:val="00DB7012"/>
    <w:rsid w:val="00DB72B4"/>
    <w:rsid w:val="00DB74C2"/>
    <w:rsid w:val="00DB75CE"/>
    <w:rsid w:val="00DB7CD6"/>
    <w:rsid w:val="00DB7CED"/>
    <w:rsid w:val="00DC0016"/>
    <w:rsid w:val="00DC0293"/>
    <w:rsid w:val="00DC06F1"/>
    <w:rsid w:val="00DC0ABE"/>
    <w:rsid w:val="00DC0E66"/>
    <w:rsid w:val="00DC1542"/>
    <w:rsid w:val="00DC1654"/>
    <w:rsid w:val="00DC202B"/>
    <w:rsid w:val="00DC2277"/>
    <w:rsid w:val="00DC2738"/>
    <w:rsid w:val="00DC2778"/>
    <w:rsid w:val="00DC313F"/>
    <w:rsid w:val="00DC3173"/>
    <w:rsid w:val="00DC336E"/>
    <w:rsid w:val="00DC34A3"/>
    <w:rsid w:val="00DC3542"/>
    <w:rsid w:val="00DC36F3"/>
    <w:rsid w:val="00DC3BD7"/>
    <w:rsid w:val="00DC3F31"/>
    <w:rsid w:val="00DC3FF7"/>
    <w:rsid w:val="00DC438C"/>
    <w:rsid w:val="00DC449D"/>
    <w:rsid w:val="00DC454F"/>
    <w:rsid w:val="00DC4F0A"/>
    <w:rsid w:val="00DC4FDE"/>
    <w:rsid w:val="00DC54A9"/>
    <w:rsid w:val="00DC5756"/>
    <w:rsid w:val="00DC5A99"/>
    <w:rsid w:val="00DC5C1C"/>
    <w:rsid w:val="00DC5FBE"/>
    <w:rsid w:val="00DC60D6"/>
    <w:rsid w:val="00DC612A"/>
    <w:rsid w:val="00DC65B3"/>
    <w:rsid w:val="00DC66F4"/>
    <w:rsid w:val="00DC6777"/>
    <w:rsid w:val="00DC6910"/>
    <w:rsid w:val="00DC6917"/>
    <w:rsid w:val="00DC7237"/>
    <w:rsid w:val="00DC77FE"/>
    <w:rsid w:val="00DC79CC"/>
    <w:rsid w:val="00DC7BA7"/>
    <w:rsid w:val="00DC7C4E"/>
    <w:rsid w:val="00DD06C7"/>
    <w:rsid w:val="00DD08B2"/>
    <w:rsid w:val="00DD1002"/>
    <w:rsid w:val="00DD106D"/>
    <w:rsid w:val="00DD1295"/>
    <w:rsid w:val="00DD18F1"/>
    <w:rsid w:val="00DD190A"/>
    <w:rsid w:val="00DD1982"/>
    <w:rsid w:val="00DD199C"/>
    <w:rsid w:val="00DD1A7F"/>
    <w:rsid w:val="00DD1BA2"/>
    <w:rsid w:val="00DD1C2D"/>
    <w:rsid w:val="00DD1CDA"/>
    <w:rsid w:val="00DD206B"/>
    <w:rsid w:val="00DD28DB"/>
    <w:rsid w:val="00DD2C54"/>
    <w:rsid w:val="00DD2E80"/>
    <w:rsid w:val="00DD2F89"/>
    <w:rsid w:val="00DD3347"/>
    <w:rsid w:val="00DD351F"/>
    <w:rsid w:val="00DD36E0"/>
    <w:rsid w:val="00DD3838"/>
    <w:rsid w:val="00DD4355"/>
    <w:rsid w:val="00DD4574"/>
    <w:rsid w:val="00DD465C"/>
    <w:rsid w:val="00DD4936"/>
    <w:rsid w:val="00DD49B8"/>
    <w:rsid w:val="00DD4C8F"/>
    <w:rsid w:val="00DD4F84"/>
    <w:rsid w:val="00DD4FF9"/>
    <w:rsid w:val="00DD5182"/>
    <w:rsid w:val="00DD51A2"/>
    <w:rsid w:val="00DD52A5"/>
    <w:rsid w:val="00DD5403"/>
    <w:rsid w:val="00DD5488"/>
    <w:rsid w:val="00DD582D"/>
    <w:rsid w:val="00DD682D"/>
    <w:rsid w:val="00DD6F9A"/>
    <w:rsid w:val="00DD70CA"/>
    <w:rsid w:val="00DD70CB"/>
    <w:rsid w:val="00DD7227"/>
    <w:rsid w:val="00DD723B"/>
    <w:rsid w:val="00DD74EC"/>
    <w:rsid w:val="00DD7576"/>
    <w:rsid w:val="00DD76C9"/>
    <w:rsid w:val="00DD7BF0"/>
    <w:rsid w:val="00DD7C3B"/>
    <w:rsid w:val="00DD7DBB"/>
    <w:rsid w:val="00DE002C"/>
    <w:rsid w:val="00DE02DC"/>
    <w:rsid w:val="00DE03C7"/>
    <w:rsid w:val="00DE05EF"/>
    <w:rsid w:val="00DE0E11"/>
    <w:rsid w:val="00DE0E61"/>
    <w:rsid w:val="00DE114D"/>
    <w:rsid w:val="00DE12DA"/>
    <w:rsid w:val="00DE13A0"/>
    <w:rsid w:val="00DE144F"/>
    <w:rsid w:val="00DE182D"/>
    <w:rsid w:val="00DE1951"/>
    <w:rsid w:val="00DE26A2"/>
    <w:rsid w:val="00DE289D"/>
    <w:rsid w:val="00DE2B71"/>
    <w:rsid w:val="00DE2E5E"/>
    <w:rsid w:val="00DE314B"/>
    <w:rsid w:val="00DE360D"/>
    <w:rsid w:val="00DE3C30"/>
    <w:rsid w:val="00DE3D23"/>
    <w:rsid w:val="00DE4187"/>
    <w:rsid w:val="00DE434D"/>
    <w:rsid w:val="00DE4394"/>
    <w:rsid w:val="00DE47FA"/>
    <w:rsid w:val="00DE508F"/>
    <w:rsid w:val="00DE52B1"/>
    <w:rsid w:val="00DE58C5"/>
    <w:rsid w:val="00DE598E"/>
    <w:rsid w:val="00DE6234"/>
    <w:rsid w:val="00DE6552"/>
    <w:rsid w:val="00DE6A55"/>
    <w:rsid w:val="00DE6AFF"/>
    <w:rsid w:val="00DE6ECC"/>
    <w:rsid w:val="00DE73C5"/>
    <w:rsid w:val="00DE796B"/>
    <w:rsid w:val="00DE7D9E"/>
    <w:rsid w:val="00DF0207"/>
    <w:rsid w:val="00DF02D3"/>
    <w:rsid w:val="00DF059C"/>
    <w:rsid w:val="00DF0885"/>
    <w:rsid w:val="00DF0D5E"/>
    <w:rsid w:val="00DF1009"/>
    <w:rsid w:val="00DF103D"/>
    <w:rsid w:val="00DF10CA"/>
    <w:rsid w:val="00DF10ED"/>
    <w:rsid w:val="00DF13D8"/>
    <w:rsid w:val="00DF204F"/>
    <w:rsid w:val="00DF23D3"/>
    <w:rsid w:val="00DF26C1"/>
    <w:rsid w:val="00DF270D"/>
    <w:rsid w:val="00DF2F8C"/>
    <w:rsid w:val="00DF324C"/>
    <w:rsid w:val="00DF36D8"/>
    <w:rsid w:val="00DF371F"/>
    <w:rsid w:val="00DF3B5B"/>
    <w:rsid w:val="00DF3E5B"/>
    <w:rsid w:val="00DF3FA3"/>
    <w:rsid w:val="00DF43A9"/>
    <w:rsid w:val="00DF483D"/>
    <w:rsid w:val="00DF49FF"/>
    <w:rsid w:val="00DF4C26"/>
    <w:rsid w:val="00DF4EAD"/>
    <w:rsid w:val="00DF51E1"/>
    <w:rsid w:val="00DF52F0"/>
    <w:rsid w:val="00DF5AF5"/>
    <w:rsid w:val="00DF5B0B"/>
    <w:rsid w:val="00DF5DB2"/>
    <w:rsid w:val="00DF5E8F"/>
    <w:rsid w:val="00DF5F38"/>
    <w:rsid w:val="00DF5F3B"/>
    <w:rsid w:val="00DF5F85"/>
    <w:rsid w:val="00DF620D"/>
    <w:rsid w:val="00DF633F"/>
    <w:rsid w:val="00DF652F"/>
    <w:rsid w:val="00DF675E"/>
    <w:rsid w:val="00DF67A1"/>
    <w:rsid w:val="00DF68F1"/>
    <w:rsid w:val="00DF6C7F"/>
    <w:rsid w:val="00DF6F7F"/>
    <w:rsid w:val="00DF72E2"/>
    <w:rsid w:val="00DF7811"/>
    <w:rsid w:val="00DF7E29"/>
    <w:rsid w:val="00E00024"/>
    <w:rsid w:val="00E000F2"/>
    <w:rsid w:val="00E002E3"/>
    <w:rsid w:val="00E003B2"/>
    <w:rsid w:val="00E0046B"/>
    <w:rsid w:val="00E0055E"/>
    <w:rsid w:val="00E00EA0"/>
    <w:rsid w:val="00E01028"/>
    <w:rsid w:val="00E011CB"/>
    <w:rsid w:val="00E0130A"/>
    <w:rsid w:val="00E014CA"/>
    <w:rsid w:val="00E01648"/>
    <w:rsid w:val="00E01900"/>
    <w:rsid w:val="00E01BAB"/>
    <w:rsid w:val="00E01C1D"/>
    <w:rsid w:val="00E02184"/>
    <w:rsid w:val="00E0220A"/>
    <w:rsid w:val="00E026DE"/>
    <w:rsid w:val="00E02D69"/>
    <w:rsid w:val="00E02F72"/>
    <w:rsid w:val="00E03089"/>
    <w:rsid w:val="00E0310A"/>
    <w:rsid w:val="00E03677"/>
    <w:rsid w:val="00E03A23"/>
    <w:rsid w:val="00E03AB7"/>
    <w:rsid w:val="00E03D25"/>
    <w:rsid w:val="00E03D7A"/>
    <w:rsid w:val="00E03E5B"/>
    <w:rsid w:val="00E04170"/>
    <w:rsid w:val="00E04A11"/>
    <w:rsid w:val="00E05069"/>
    <w:rsid w:val="00E05244"/>
    <w:rsid w:val="00E063EE"/>
    <w:rsid w:val="00E06615"/>
    <w:rsid w:val="00E066A2"/>
    <w:rsid w:val="00E0689F"/>
    <w:rsid w:val="00E06992"/>
    <w:rsid w:val="00E06AD4"/>
    <w:rsid w:val="00E06BB9"/>
    <w:rsid w:val="00E06E67"/>
    <w:rsid w:val="00E06F54"/>
    <w:rsid w:val="00E06F6A"/>
    <w:rsid w:val="00E073CF"/>
    <w:rsid w:val="00E0777F"/>
    <w:rsid w:val="00E07907"/>
    <w:rsid w:val="00E07F19"/>
    <w:rsid w:val="00E07F89"/>
    <w:rsid w:val="00E106AD"/>
    <w:rsid w:val="00E10AC4"/>
    <w:rsid w:val="00E10D3B"/>
    <w:rsid w:val="00E10D9E"/>
    <w:rsid w:val="00E10F04"/>
    <w:rsid w:val="00E114CA"/>
    <w:rsid w:val="00E115C9"/>
    <w:rsid w:val="00E11719"/>
    <w:rsid w:val="00E11A00"/>
    <w:rsid w:val="00E12265"/>
    <w:rsid w:val="00E122F3"/>
    <w:rsid w:val="00E12845"/>
    <w:rsid w:val="00E12E01"/>
    <w:rsid w:val="00E12E35"/>
    <w:rsid w:val="00E1317C"/>
    <w:rsid w:val="00E133CC"/>
    <w:rsid w:val="00E139CB"/>
    <w:rsid w:val="00E13D5F"/>
    <w:rsid w:val="00E13F28"/>
    <w:rsid w:val="00E140B3"/>
    <w:rsid w:val="00E1435C"/>
    <w:rsid w:val="00E1463A"/>
    <w:rsid w:val="00E1496A"/>
    <w:rsid w:val="00E1499B"/>
    <w:rsid w:val="00E14AD6"/>
    <w:rsid w:val="00E14B68"/>
    <w:rsid w:val="00E14D55"/>
    <w:rsid w:val="00E15211"/>
    <w:rsid w:val="00E15E49"/>
    <w:rsid w:val="00E16347"/>
    <w:rsid w:val="00E163EF"/>
    <w:rsid w:val="00E1643B"/>
    <w:rsid w:val="00E16918"/>
    <w:rsid w:val="00E16CD2"/>
    <w:rsid w:val="00E16CF8"/>
    <w:rsid w:val="00E16D4A"/>
    <w:rsid w:val="00E16D9A"/>
    <w:rsid w:val="00E16DD8"/>
    <w:rsid w:val="00E1729F"/>
    <w:rsid w:val="00E174C3"/>
    <w:rsid w:val="00E17552"/>
    <w:rsid w:val="00E17BA0"/>
    <w:rsid w:val="00E2037F"/>
    <w:rsid w:val="00E20431"/>
    <w:rsid w:val="00E2045B"/>
    <w:rsid w:val="00E206B3"/>
    <w:rsid w:val="00E20926"/>
    <w:rsid w:val="00E20CFE"/>
    <w:rsid w:val="00E20DF5"/>
    <w:rsid w:val="00E20F4F"/>
    <w:rsid w:val="00E2108C"/>
    <w:rsid w:val="00E21123"/>
    <w:rsid w:val="00E2170E"/>
    <w:rsid w:val="00E2174F"/>
    <w:rsid w:val="00E218CF"/>
    <w:rsid w:val="00E21BB3"/>
    <w:rsid w:val="00E22075"/>
    <w:rsid w:val="00E22163"/>
    <w:rsid w:val="00E22816"/>
    <w:rsid w:val="00E22E3F"/>
    <w:rsid w:val="00E22F78"/>
    <w:rsid w:val="00E22FBE"/>
    <w:rsid w:val="00E23B67"/>
    <w:rsid w:val="00E23B78"/>
    <w:rsid w:val="00E23B8A"/>
    <w:rsid w:val="00E23C63"/>
    <w:rsid w:val="00E243BB"/>
    <w:rsid w:val="00E2483E"/>
    <w:rsid w:val="00E25AFE"/>
    <w:rsid w:val="00E25FCD"/>
    <w:rsid w:val="00E25FDC"/>
    <w:rsid w:val="00E2652F"/>
    <w:rsid w:val="00E26E8C"/>
    <w:rsid w:val="00E27189"/>
    <w:rsid w:val="00E27722"/>
    <w:rsid w:val="00E2795F"/>
    <w:rsid w:val="00E27AE5"/>
    <w:rsid w:val="00E27B74"/>
    <w:rsid w:val="00E27CBD"/>
    <w:rsid w:val="00E30A92"/>
    <w:rsid w:val="00E30BED"/>
    <w:rsid w:val="00E30E23"/>
    <w:rsid w:val="00E31015"/>
    <w:rsid w:val="00E31CFA"/>
    <w:rsid w:val="00E3237F"/>
    <w:rsid w:val="00E32B94"/>
    <w:rsid w:val="00E32DBC"/>
    <w:rsid w:val="00E32DEB"/>
    <w:rsid w:val="00E32EB2"/>
    <w:rsid w:val="00E32F76"/>
    <w:rsid w:val="00E331C1"/>
    <w:rsid w:val="00E33237"/>
    <w:rsid w:val="00E33383"/>
    <w:rsid w:val="00E336FA"/>
    <w:rsid w:val="00E33AA2"/>
    <w:rsid w:val="00E34675"/>
    <w:rsid w:val="00E34954"/>
    <w:rsid w:val="00E34A64"/>
    <w:rsid w:val="00E34F63"/>
    <w:rsid w:val="00E34FF3"/>
    <w:rsid w:val="00E35463"/>
    <w:rsid w:val="00E35B30"/>
    <w:rsid w:val="00E35C22"/>
    <w:rsid w:val="00E35EB1"/>
    <w:rsid w:val="00E35F17"/>
    <w:rsid w:val="00E36788"/>
    <w:rsid w:val="00E36BF0"/>
    <w:rsid w:val="00E36E04"/>
    <w:rsid w:val="00E36FA5"/>
    <w:rsid w:val="00E36FC9"/>
    <w:rsid w:val="00E371B6"/>
    <w:rsid w:val="00E375E2"/>
    <w:rsid w:val="00E400E4"/>
    <w:rsid w:val="00E401D0"/>
    <w:rsid w:val="00E40211"/>
    <w:rsid w:val="00E406E8"/>
    <w:rsid w:val="00E409EC"/>
    <w:rsid w:val="00E40B3C"/>
    <w:rsid w:val="00E40FA6"/>
    <w:rsid w:val="00E41080"/>
    <w:rsid w:val="00E41275"/>
    <w:rsid w:val="00E415A3"/>
    <w:rsid w:val="00E41613"/>
    <w:rsid w:val="00E41653"/>
    <w:rsid w:val="00E417F2"/>
    <w:rsid w:val="00E41E22"/>
    <w:rsid w:val="00E41E2B"/>
    <w:rsid w:val="00E41F09"/>
    <w:rsid w:val="00E42655"/>
    <w:rsid w:val="00E4265B"/>
    <w:rsid w:val="00E42ED9"/>
    <w:rsid w:val="00E42FAA"/>
    <w:rsid w:val="00E43168"/>
    <w:rsid w:val="00E4344F"/>
    <w:rsid w:val="00E4394F"/>
    <w:rsid w:val="00E4421C"/>
    <w:rsid w:val="00E44B9A"/>
    <w:rsid w:val="00E450BA"/>
    <w:rsid w:val="00E45752"/>
    <w:rsid w:val="00E45754"/>
    <w:rsid w:val="00E45755"/>
    <w:rsid w:val="00E457BF"/>
    <w:rsid w:val="00E45A12"/>
    <w:rsid w:val="00E45A69"/>
    <w:rsid w:val="00E45B00"/>
    <w:rsid w:val="00E45E40"/>
    <w:rsid w:val="00E45E6D"/>
    <w:rsid w:val="00E46243"/>
    <w:rsid w:val="00E463DB"/>
    <w:rsid w:val="00E46CEA"/>
    <w:rsid w:val="00E46E49"/>
    <w:rsid w:val="00E4720B"/>
    <w:rsid w:val="00E472AD"/>
    <w:rsid w:val="00E47353"/>
    <w:rsid w:val="00E477D0"/>
    <w:rsid w:val="00E478B0"/>
    <w:rsid w:val="00E47B74"/>
    <w:rsid w:val="00E501F7"/>
    <w:rsid w:val="00E50269"/>
    <w:rsid w:val="00E50516"/>
    <w:rsid w:val="00E50BC0"/>
    <w:rsid w:val="00E50DD6"/>
    <w:rsid w:val="00E51B16"/>
    <w:rsid w:val="00E51BDD"/>
    <w:rsid w:val="00E51C4D"/>
    <w:rsid w:val="00E51D02"/>
    <w:rsid w:val="00E52108"/>
    <w:rsid w:val="00E5223C"/>
    <w:rsid w:val="00E52394"/>
    <w:rsid w:val="00E52680"/>
    <w:rsid w:val="00E530BD"/>
    <w:rsid w:val="00E533B1"/>
    <w:rsid w:val="00E53E92"/>
    <w:rsid w:val="00E53F39"/>
    <w:rsid w:val="00E540E5"/>
    <w:rsid w:val="00E5414A"/>
    <w:rsid w:val="00E541E6"/>
    <w:rsid w:val="00E54679"/>
    <w:rsid w:val="00E5481A"/>
    <w:rsid w:val="00E549BF"/>
    <w:rsid w:val="00E54E83"/>
    <w:rsid w:val="00E54ED5"/>
    <w:rsid w:val="00E54F34"/>
    <w:rsid w:val="00E5505A"/>
    <w:rsid w:val="00E5505C"/>
    <w:rsid w:val="00E5508A"/>
    <w:rsid w:val="00E554B5"/>
    <w:rsid w:val="00E554EC"/>
    <w:rsid w:val="00E55533"/>
    <w:rsid w:val="00E55932"/>
    <w:rsid w:val="00E55BDC"/>
    <w:rsid w:val="00E55CDA"/>
    <w:rsid w:val="00E56071"/>
    <w:rsid w:val="00E562BD"/>
    <w:rsid w:val="00E566FF"/>
    <w:rsid w:val="00E569C3"/>
    <w:rsid w:val="00E56BB9"/>
    <w:rsid w:val="00E5734E"/>
    <w:rsid w:val="00E57587"/>
    <w:rsid w:val="00E57AB3"/>
    <w:rsid w:val="00E57D0A"/>
    <w:rsid w:val="00E57E88"/>
    <w:rsid w:val="00E60414"/>
    <w:rsid w:val="00E6042F"/>
    <w:rsid w:val="00E60512"/>
    <w:rsid w:val="00E6074D"/>
    <w:rsid w:val="00E608EC"/>
    <w:rsid w:val="00E60F23"/>
    <w:rsid w:val="00E612F6"/>
    <w:rsid w:val="00E619F1"/>
    <w:rsid w:val="00E61EC9"/>
    <w:rsid w:val="00E61F1D"/>
    <w:rsid w:val="00E61F8F"/>
    <w:rsid w:val="00E6244B"/>
    <w:rsid w:val="00E6245D"/>
    <w:rsid w:val="00E62638"/>
    <w:rsid w:val="00E626EB"/>
    <w:rsid w:val="00E62E97"/>
    <w:rsid w:val="00E63183"/>
    <w:rsid w:val="00E631A4"/>
    <w:rsid w:val="00E63D87"/>
    <w:rsid w:val="00E63E32"/>
    <w:rsid w:val="00E646D5"/>
    <w:rsid w:val="00E647B1"/>
    <w:rsid w:val="00E647DE"/>
    <w:rsid w:val="00E64BED"/>
    <w:rsid w:val="00E64DE7"/>
    <w:rsid w:val="00E65143"/>
    <w:rsid w:val="00E65217"/>
    <w:rsid w:val="00E6528B"/>
    <w:rsid w:val="00E657BC"/>
    <w:rsid w:val="00E658FD"/>
    <w:rsid w:val="00E65C3F"/>
    <w:rsid w:val="00E65DAD"/>
    <w:rsid w:val="00E661F3"/>
    <w:rsid w:val="00E666D3"/>
    <w:rsid w:val="00E66A6E"/>
    <w:rsid w:val="00E66C60"/>
    <w:rsid w:val="00E66E1D"/>
    <w:rsid w:val="00E6777C"/>
    <w:rsid w:val="00E67912"/>
    <w:rsid w:val="00E67983"/>
    <w:rsid w:val="00E67E70"/>
    <w:rsid w:val="00E70072"/>
    <w:rsid w:val="00E70221"/>
    <w:rsid w:val="00E705F5"/>
    <w:rsid w:val="00E70C62"/>
    <w:rsid w:val="00E7129E"/>
    <w:rsid w:val="00E71A64"/>
    <w:rsid w:val="00E71D01"/>
    <w:rsid w:val="00E72B04"/>
    <w:rsid w:val="00E72EA6"/>
    <w:rsid w:val="00E736FE"/>
    <w:rsid w:val="00E73765"/>
    <w:rsid w:val="00E73785"/>
    <w:rsid w:val="00E73960"/>
    <w:rsid w:val="00E73B89"/>
    <w:rsid w:val="00E73BB3"/>
    <w:rsid w:val="00E740D7"/>
    <w:rsid w:val="00E742ED"/>
    <w:rsid w:val="00E74969"/>
    <w:rsid w:val="00E74A1B"/>
    <w:rsid w:val="00E74F37"/>
    <w:rsid w:val="00E75152"/>
    <w:rsid w:val="00E758A1"/>
    <w:rsid w:val="00E75A41"/>
    <w:rsid w:val="00E75CBA"/>
    <w:rsid w:val="00E75CFA"/>
    <w:rsid w:val="00E75F6A"/>
    <w:rsid w:val="00E7670A"/>
    <w:rsid w:val="00E76ADE"/>
    <w:rsid w:val="00E76B19"/>
    <w:rsid w:val="00E76C6E"/>
    <w:rsid w:val="00E76D48"/>
    <w:rsid w:val="00E76EF7"/>
    <w:rsid w:val="00E76FAF"/>
    <w:rsid w:val="00E7705F"/>
    <w:rsid w:val="00E7712B"/>
    <w:rsid w:val="00E77583"/>
    <w:rsid w:val="00E77957"/>
    <w:rsid w:val="00E779D9"/>
    <w:rsid w:val="00E77F16"/>
    <w:rsid w:val="00E77FF2"/>
    <w:rsid w:val="00E80178"/>
    <w:rsid w:val="00E80C8A"/>
    <w:rsid w:val="00E81111"/>
    <w:rsid w:val="00E81565"/>
    <w:rsid w:val="00E81581"/>
    <w:rsid w:val="00E81EBE"/>
    <w:rsid w:val="00E8206B"/>
    <w:rsid w:val="00E82132"/>
    <w:rsid w:val="00E824CE"/>
    <w:rsid w:val="00E82617"/>
    <w:rsid w:val="00E82903"/>
    <w:rsid w:val="00E82A00"/>
    <w:rsid w:val="00E82BA2"/>
    <w:rsid w:val="00E82BFB"/>
    <w:rsid w:val="00E82CF1"/>
    <w:rsid w:val="00E8314B"/>
    <w:rsid w:val="00E8325B"/>
    <w:rsid w:val="00E835EF"/>
    <w:rsid w:val="00E8376A"/>
    <w:rsid w:val="00E838CF"/>
    <w:rsid w:val="00E83B08"/>
    <w:rsid w:val="00E83F6B"/>
    <w:rsid w:val="00E83F81"/>
    <w:rsid w:val="00E841C0"/>
    <w:rsid w:val="00E847E4"/>
    <w:rsid w:val="00E848D1"/>
    <w:rsid w:val="00E84AFE"/>
    <w:rsid w:val="00E84EEB"/>
    <w:rsid w:val="00E85566"/>
    <w:rsid w:val="00E856E3"/>
    <w:rsid w:val="00E8574A"/>
    <w:rsid w:val="00E859EB"/>
    <w:rsid w:val="00E85C11"/>
    <w:rsid w:val="00E85C6A"/>
    <w:rsid w:val="00E85CBD"/>
    <w:rsid w:val="00E85D67"/>
    <w:rsid w:val="00E85F6A"/>
    <w:rsid w:val="00E86445"/>
    <w:rsid w:val="00E86EB4"/>
    <w:rsid w:val="00E86EC9"/>
    <w:rsid w:val="00E86FFC"/>
    <w:rsid w:val="00E876C8"/>
    <w:rsid w:val="00E876E8"/>
    <w:rsid w:val="00E8793B"/>
    <w:rsid w:val="00E8796D"/>
    <w:rsid w:val="00E90071"/>
    <w:rsid w:val="00E90389"/>
    <w:rsid w:val="00E903A9"/>
    <w:rsid w:val="00E9097F"/>
    <w:rsid w:val="00E90A6D"/>
    <w:rsid w:val="00E90C35"/>
    <w:rsid w:val="00E91111"/>
    <w:rsid w:val="00E91340"/>
    <w:rsid w:val="00E91569"/>
    <w:rsid w:val="00E919DE"/>
    <w:rsid w:val="00E91C25"/>
    <w:rsid w:val="00E924A6"/>
    <w:rsid w:val="00E92794"/>
    <w:rsid w:val="00E9287B"/>
    <w:rsid w:val="00E92CCC"/>
    <w:rsid w:val="00E92DF1"/>
    <w:rsid w:val="00E92EED"/>
    <w:rsid w:val="00E92F05"/>
    <w:rsid w:val="00E93129"/>
    <w:rsid w:val="00E93534"/>
    <w:rsid w:val="00E9357C"/>
    <w:rsid w:val="00E937EF"/>
    <w:rsid w:val="00E93A9A"/>
    <w:rsid w:val="00E93C8C"/>
    <w:rsid w:val="00E944F8"/>
    <w:rsid w:val="00E94811"/>
    <w:rsid w:val="00E94B79"/>
    <w:rsid w:val="00E94CD3"/>
    <w:rsid w:val="00E94F78"/>
    <w:rsid w:val="00E96146"/>
    <w:rsid w:val="00E961D7"/>
    <w:rsid w:val="00E963F9"/>
    <w:rsid w:val="00E966FE"/>
    <w:rsid w:val="00E96935"/>
    <w:rsid w:val="00E96F8F"/>
    <w:rsid w:val="00E96F95"/>
    <w:rsid w:val="00E9780C"/>
    <w:rsid w:val="00E97993"/>
    <w:rsid w:val="00E97B51"/>
    <w:rsid w:val="00EA02B5"/>
    <w:rsid w:val="00EA074E"/>
    <w:rsid w:val="00EA0B23"/>
    <w:rsid w:val="00EA0B52"/>
    <w:rsid w:val="00EA0E08"/>
    <w:rsid w:val="00EA1178"/>
    <w:rsid w:val="00EA12ED"/>
    <w:rsid w:val="00EA1372"/>
    <w:rsid w:val="00EA1648"/>
    <w:rsid w:val="00EA1AA0"/>
    <w:rsid w:val="00EA1BB8"/>
    <w:rsid w:val="00EA1E0E"/>
    <w:rsid w:val="00EA1F02"/>
    <w:rsid w:val="00EA1FBF"/>
    <w:rsid w:val="00EA2044"/>
    <w:rsid w:val="00EA2369"/>
    <w:rsid w:val="00EA2791"/>
    <w:rsid w:val="00EA3113"/>
    <w:rsid w:val="00EA3218"/>
    <w:rsid w:val="00EA33C9"/>
    <w:rsid w:val="00EA3452"/>
    <w:rsid w:val="00EA366B"/>
    <w:rsid w:val="00EA3A3B"/>
    <w:rsid w:val="00EA4119"/>
    <w:rsid w:val="00EA4272"/>
    <w:rsid w:val="00EA43F4"/>
    <w:rsid w:val="00EA4473"/>
    <w:rsid w:val="00EA4641"/>
    <w:rsid w:val="00EA465C"/>
    <w:rsid w:val="00EA497F"/>
    <w:rsid w:val="00EA4B82"/>
    <w:rsid w:val="00EA4F9B"/>
    <w:rsid w:val="00EA5020"/>
    <w:rsid w:val="00EA5245"/>
    <w:rsid w:val="00EA55AF"/>
    <w:rsid w:val="00EA5921"/>
    <w:rsid w:val="00EA5C81"/>
    <w:rsid w:val="00EA5EF4"/>
    <w:rsid w:val="00EA6123"/>
    <w:rsid w:val="00EA6242"/>
    <w:rsid w:val="00EA6400"/>
    <w:rsid w:val="00EA6414"/>
    <w:rsid w:val="00EA6552"/>
    <w:rsid w:val="00EA686A"/>
    <w:rsid w:val="00EA68FD"/>
    <w:rsid w:val="00EA6E87"/>
    <w:rsid w:val="00EA757A"/>
    <w:rsid w:val="00EA76C4"/>
    <w:rsid w:val="00EA7802"/>
    <w:rsid w:val="00EA797A"/>
    <w:rsid w:val="00EA7A78"/>
    <w:rsid w:val="00EB048E"/>
    <w:rsid w:val="00EB0653"/>
    <w:rsid w:val="00EB0ADD"/>
    <w:rsid w:val="00EB0DC0"/>
    <w:rsid w:val="00EB0F08"/>
    <w:rsid w:val="00EB10EA"/>
    <w:rsid w:val="00EB12FC"/>
    <w:rsid w:val="00EB16D6"/>
    <w:rsid w:val="00EB16EC"/>
    <w:rsid w:val="00EB1726"/>
    <w:rsid w:val="00EB1B67"/>
    <w:rsid w:val="00EB1C09"/>
    <w:rsid w:val="00EB1FF4"/>
    <w:rsid w:val="00EB2758"/>
    <w:rsid w:val="00EB29FF"/>
    <w:rsid w:val="00EB2AD4"/>
    <w:rsid w:val="00EB2CA4"/>
    <w:rsid w:val="00EB2CAC"/>
    <w:rsid w:val="00EB2D09"/>
    <w:rsid w:val="00EB36E2"/>
    <w:rsid w:val="00EB3D6A"/>
    <w:rsid w:val="00EB3EA2"/>
    <w:rsid w:val="00EB3EC0"/>
    <w:rsid w:val="00EB44E9"/>
    <w:rsid w:val="00EB4749"/>
    <w:rsid w:val="00EB4982"/>
    <w:rsid w:val="00EB4E86"/>
    <w:rsid w:val="00EB52F1"/>
    <w:rsid w:val="00EB5399"/>
    <w:rsid w:val="00EB53C0"/>
    <w:rsid w:val="00EB5758"/>
    <w:rsid w:val="00EB60EF"/>
    <w:rsid w:val="00EB64B8"/>
    <w:rsid w:val="00EB6734"/>
    <w:rsid w:val="00EB6886"/>
    <w:rsid w:val="00EB696B"/>
    <w:rsid w:val="00EB6EB9"/>
    <w:rsid w:val="00EB6EFB"/>
    <w:rsid w:val="00EB705A"/>
    <w:rsid w:val="00EB717B"/>
    <w:rsid w:val="00EB77F5"/>
    <w:rsid w:val="00EC0233"/>
    <w:rsid w:val="00EC02AB"/>
    <w:rsid w:val="00EC0396"/>
    <w:rsid w:val="00EC03D8"/>
    <w:rsid w:val="00EC042F"/>
    <w:rsid w:val="00EC053A"/>
    <w:rsid w:val="00EC0765"/>
    <w:rsid w:val="00EC0CA5"/>
    <w:rsid w:val="00EC0EAF"/>
    <w:rsid w:val="00EC1062"/>
    <w:rsid w:val="00EC1122"/>
    <w:rsid w:val="00EC1BAF"/>
    <w:rsid w:val="00EC21B3"/>
    <w:rsid w:val="00EC23C5"/>
    <w:rsid w:val="00EC23D6"/>
    <w:rsid w:val="00EC243D"/>
    <w:rsid w:val="00EC2597"/>
    <w:rsid w:val="00EC2BE3"/>
    <w:rsid w:val="00EC2BEB"/>
    <w:rsid w:val="00EC2EBD"/>
    <w:rsid w:val="00EC2EFD"/>
    <w:rsid w:val="00EC2FE8"/>
    <w:rsid w:val="00EC413D"/>
    <w:rsid w:val="00EC4494"/>
    <w:rsid w:val="00EC501B"/>
    <w:rsid w:val="00EC5343"/>
    <w:rsid w:val="00EC5350"/>
    <w:rsid w:val="00EC5731"/>
    <w:rsid w:val="00EC58E0"/>
    <w:rsid w:val="00EC5D5E"/>
    <w:rsid w:val="00EC6478"/>
    <w:rsid w:val="00EC6600"/>
    <w:rsid w:val="00EC712E"/>
    <w:rsid w:val="00EC76A6"/>
    <w:rsid w:val="00EC7766"/>
    <w:rsid w:val="00EC7D4D"/>
    <w:rsid w:val="00EC7DCD"/>
    <w:rsid w:val="00ED09E4"/>
    <w:rsid w:val="00ED0A47"/>
    <w:rsid w:val="00ED0BF3"/>
    <w:rsid w:val="00ED0D71"/>
    <w:rsid w:val="00ED1012"/>
    <w:rsid w:val="00ED14FE"/>
    <w:rsid w:val="00ED15C1"/>
    <w:rsid w:val="00ED1A08"/>
    <w:rsid w:val="00ED1FB1"/>
    <w:rsid w:val="00ED2172"/>
    <w:rsid w:val="00ED22AD"/>
    <w:rsid w:val="00ED24B0"/>
    <w:rsid w:val="00ED28C0"/>
    <w:rsid w:val="00ED2BBF"/>
    <w:rsid w:val="00ED2E36"/>
    <w:rsid w:val="00ED2E61"/>
    <w:rsid w:val="00ED2FE1"/>
    <w:rsid w:val="00ED34C6"/>
    <w:rsid w:val="00ED3824"/>
    <w:rsid w:val="00ED39EE"/>
    <w:rsid w:val="00ED3A81"/>
    <w:rsid w:val="00ED3C62"/>
    <w:rsid w:val="00ED3D35"/>
    <w:rsid w:val="00ED3F57"/>
    <w:rsid w:val="00ED40A3"/>
    <w:rsid w:val="00ED460D"/>
    <w:rsid w:val="00ED47E6"/>
    <w:rsid w:val="00ED487E"/>
    <w:rsid w:val="00ED496A"/>
    <w:rsid w:val="00ED4B13"/>
    <w:rsid w:val="00ED4BEE"/>
    <w:rsid w:val="00ED4F60"/>
    <w:rsid w:val="00ED538E"/>
    <w:rsid w:val="00ED5804"/>
    <w:rsid w:val="00ED5AFA"/>
    <w:rsid w:val="00ED5D26"/>
    <w:rsid w:val="00ED64CB"/>
    <w:rsid w:val="00ED65A7"/>
    <w:rsid w:val="00ED6941"/>
    <w:rsid w:val="00ED7C7C"/>
    <w:rsid w:val="00EE0326"/>
    <w:rsid w:val="00EE1184"/>
    <w:rsid w:val="00EE136D"/>
    <w:rsid w:val="00EE22FB"/>
    <w:rsid w:val="00EE2CC2"/>
    <w:rsid w:val="00EE2E8B"/>
    <w:rsid w:val="00EE32BF"/>
    <w:rsid w:val="00EE36F6"/>
    <w:rsid w:val="00EE371E"/>
    <w:rsid w:val="00EE38CB"/>
    <w:rsid w:val="00EE392A"/>
    <w:rsid w:val="00EE39A6"/>
    <w:rsid w:val="00EE3CDD"/>
    <w:rsid w:val="00EE3E91"/>
    <w:rsid w:val="00EE3F28"/>
    <w:rsid w:val="00EE4000"/>
    <w:rsid w:val="00EE430D"/>
    <w:rsid w:val="00EE4787"/>
    <w:rsid w:val="00EE49A4"/>
    <w:rsid w:val="00EE4A4F"/>
    <w:rsid w:val="00EE4AB8"/>
    <w:rsid w:val="00EE4B20"/>
    <w:rsid w:val="00EE4EE6"/>
    <w:rsid w:val="00EE5697"/>
    <w:rsid w:val="00EE573B"/>
    <w:rsid w:val="00EE5761"/>
    <w:rsid w:val="00EE57A5"/>
    <w:rsid w:val="00EE5A2E"/>
    <w:rsid w:val="00EE5E9A"/>
    <w:rsid w:val="00EE5F59"/>
    <w:rsid w:val="00EE6489"/>
    <w:rsid w:val="00EE64C2"/>
    <w:rsid w:val="00EE6945"/>
    <w:rsid w:val="00EE6990"/>
    <w:rsid w:val="00EE6FA7"/>
    <w:rsid w:val="00EE6FBB"/>
    <w:rsid w:val="00EE7080"/>
    <w:rsid w:val="00EE711A"/>
    <w:rsid w:val="00EE7886"/>
    <w:rsid w:val="00EE789C"/>
    <w:rsid w:val="00EE7991"/>
    <w:rsid w:val="00EF025D"/>
    <w:rsid w:val="00EF027D"/>
    <w:rsid w:val="00EF052B"/>
    <w:rsid w:val="00EF0909"/>
    <w:rsid w:val="00EF0C94"/>
    <w:rsid w:val="00EF0E2F"/>
    <w:rsid w:val="00EF0EB0"/>
    <w:rsid w:val="00EF13F5"/>
    <w:rsid w:val="00EF16DA"/>
    <w:rsid w:val="00EF17EC"/>
    <w:rsid w:val="00EF1A7A"/>
    <w:rsid w:val="00EF2353"/>
    <w:rsid w:val="00EF262A"/>
    <w:rsid w:val="00EF27A2"/>
    <w:rsid w:val="00EF286F"/>
    <w:rsid w:val="00EF297E"/>
    <w:rsid w:val="00EF2B27"/>
    <w:rsid w:val="00EF2C23"/>
    <w:rsid w:val="00EF2CA8"/>
    <w:rsid w:val="00EF2D0F"/>
    <w:rsid w:val="00EF32E0"/>
    <w:rsid w:val="00EF3A74"/>
    <w:rsid w:val="00EF3C20"/>
    <w:rsid w:val="00EF3E35"/>
    <w:rsid w:val="00EF461C"/>
    <w:rsid w:val="00EF4665"/>
    <w:rsid w:val="00EF4D7C"/>
    <w:rsid w:val="00EF5043"/>
    <w:rsid w:val="00EF51DE"/>
    <w:rsid w:val="00EF5269"/>
    <w:rsid w:val="00EF5ABD"/>
    <w:rsid w:val="00EF5D37"/>
    <w:rsid w:val="00EF5D65"/>
    <w:rsid w:val="00EF6087"/>
    <w:rsid w:val="00EF6159"/>
    <w:rsid w:val="00EF61D8"/>
    <w:rsid w:val="00EF6278"/>
    <w:rsid w:val="00EF62E1"/>
    <w:rsid w:val="00EF6886"/>
    <w:rsid w:val="00EF6B13"/>
    <w:rsid w:val="00EF72B6"/>
    <w:rsid w:val="00EF76D9"/>
    <w:rsid w:val="00EF789C"/>
    <w:rsid w:val="00EF78A1"/>
    <w:rsid w:val="00EF798C"/>
    <w:rsid w:val="00EF7C23"/>
    <w:rsid w:val="00F00252"/>
    <w:rsid w:val="00F0052F"/>
    <w:rsid w:val="00F007FD"/>
    <w:rsid w:val="00F008AA"/>
    <w:rsid w:val="00F00DBE"/>
    <w:rsid w:val="00F00E1F"/>
    <w:rsid w:val="00F018F7"/>
    <w:rsid w:val="00F01BCE"/>
    <w:rsid w:val="00F0220F"/>
    <w:rsid w:val="00F024A4"/>
    <w:rsid w:val="00F025E3"/>
    <w:rsid w:val="00F027C4"/>
    <w:rsid w:val="00F02CBA"/>
    <w:rsid w:val="00F02FB1"/>
    <w:rsid w:val="00F03051"/>
    <w:rsid w:val="00F03142"/>
    <w:rsid w:val="00F03A2B"/>
    <w:rsid w:val="00F03C91"/>
    <w:rsid w:val="00F040C3"/>
    <w:rsid w:val="00F0413C"/>
    <w:rsid w:val="00F0421E"/>
    <w:rsid w:val="00F042A6"/>
    <w:rsid w:val="00F042A9"/>
    <w:rsid w:val="00F045AA"/>
    <w:rsid w:val="00F04687"/>
    <w:rsid w:val="00F04723"/>
    <w:rsid w:val="00F04A40"/>
    <w:rsid w:val="00F04D53"/>
    <w:rsid w:val="00F05256"/>
    <w:rsid w:val="00F0583C"/>
    <w:rsid w:val="00F05CA8"/>
    <w:rsid w:val="00F0600C"/>
    <w:rsid w:val="00F068AF"/>
    <w:rsid w:val="00F06A1D"/>
    <w:rsid w:val="00F06B6F"/>
    <w:rsid w:val="00F06BBD"/>
    <w:rsid w:val="00F06F61"/>
    <w:rsid w:val="00F07195"/>
    <w:rsid w:val="00F0731A"/>
    <w:rsid w:val="00F0756B"/>
    <w:rsid w:val="00F0782E"/>
    <w:rsid w:val="00F07AAE"/>
    <w:rsid w:val="00F07DB0"/>
    <w:rsid w:val="00F07FE6"/>
    <w:rsid w:val="00F10170"/>
    <w:rsid w:val="00F102E9"/>
    <w:rsid w:val="00F103C1"/>
    <w:rsid w:val="00F106F0"/>
    <w:rsid w:val="00F107AA"/>
    <w:rsid w:val="00F10EF9"/>
    <w:rsid w:val="00F116C1"/>
    <w:rsid w:val="00F117FA"/>
    <w:rsid w:val="00F121C4"/>
    <w:rsid w:val="00F12257"/>
    <w:rsid w:val="00F1245B"/>
    <w:rsid w:val="00F12601"/>
    <w:rsid w:val="00F12716"/>
    <w:rsid w:val="00F12818"/>
    <w:rsid w:val="00F1289C"/>
    <w:rsid w:val="00F12AAD"/>
    <w:rsid w:val="00F12FBC"/>
    <w:rsid w:val="00F13008"/>
    <w:rsid w:val="00F13CDC"/>
    <w:rsid w:val="00F13DBA"/>
    <w:rsid w:val="00F14112"/>
    <w:rsid w:val="00F1417A"/>
    <w:rsid w:val="00F144F8"/>
    <w:rsid w:val="00F14CBA"/>
    <w:rsid w:val="00F15022"/>
    <w:rsid w:val="00F1532B"/>
    <w:rsid w:val="00F1567D"/>
    <w:rsid w:val="00F1590F"/>
    <w:rsid w:val="00F15B64"/>
    <w:rsid w:val="00F15C5B"/>
    <w:rsid w:val="00F160CB"/>
    <w:rsid w:val="00F162E2"/>
    <w:rsid w:val="00F1675E"/>
    <w:rsid w:val="00F167B6"/>
    <w:rsid w:val="00F16CCA"/>
    <w:rsid w:val="00F170C1"/>
    <w:rsid w:val="00F17546"/>
    <w:rsid w:val="00F17BB0"/>
    <w:rsid w:val="00F17D76"/>
    <w:rsid w:val="00F17DFB"/>
    <w:rsid w:val="00F210AA"/>
    <w:rsid w:val="00F21331"/>
    <w:rsid w:val="00F21522"/>
    <w:rsid w:val="00F2169B"/>
    <w:rsid w:val="00F21F7A"/>
    <w:rsid w:val="00F2239A"/>
    <w:rsid w:val="00F225BF"/>
    <w:rsid w:val="00F2285C"/>
    <w:rsid w:val="00F22BA2"/>
    <w:rsid w:val="00F22BDE"/>
    <w:rsid w:val="00F22DBB"/>
    <w:rsid w:val="00F22DE4"/>
    <w:rsid w:val="00F22E40"/>
    <w:rsid w:val="00F2305C"/>
    <w:rsid w:val="00F233D4"/>
    <w:rsid w:val="00F23532"/>
    <w:rsid w:val="00F2371B"/>
    <w:rsid w:val="00F237FE"/>
    <w:rsid w:val="00F23A46"/>
    <w:rsid w:val="00F23BC4"/>
    <w:rsid w:val="00F246A8"/>
    <w:rsid w:val="00F247FF"/>
    <w:rsid w:val="00F24973"/>
    <w:rsid w:val="00F24A81"/>
    <w:rsid w:val="00F24CB5"/>
    <w:rsid w:val="00F2509B"/>
    <w:rsid w:val="00F25126"/>
    <w:rsid w:val="00F25894"/>
    <w:rsid w:val="00F26084"/>
    <w:rsid w:val="00F2660A"/>
    <w:rsid w:val="00F26C44"/>
    <w:rsid w:val="00F26C5D"/>
    <w:rsid w:val="00F26C62"/>
    <w:rsid w:val="00F26D65"/>
    <w:rsid w:val="00F27027"/>
    <w:rsid w:val="00F27041"/>
    <w:rsid w:val="00F27531"/>
    <w:rsid w:val="00F302FF"/>
    <w:rsid w:val="00F30455"/>
    <w:rsid w:val="00F30B44"/>
    <w:rsid w:val="00F30F46"/>
    <w:rsid w:val="00F30F5D"/>
    <w:rsid w:val="00F310EA"/>
    <w:rsid w:val="00F31670"/>
    <w:rsid w:val="00F31AD4"/>
    <w:rsid w:val="00F31C14"/>
    <w:rsid w:val="00F31DA6"/>
    <w:rsid w:val="00F31FD5"/>
    <w:rsid w:val="00F3239A"/>
    <w:rsid w:val="00F326F5"/>
    <w:rsid w:val="00F3284E"/>
    <w:rsid w:val="00F32A48"/>
    <w:rsid w:val="00F32B8C"/>
    <w:rsid w:val="00F33DC5"/>
    <w:rsid w:val="00F33F2C"/>
    <w:rsid w:val="00F341CC"/>
    <w:rsid w:val="00F34715"/>
    <w:rsid w:val="00F348FC"/>
    <w:rsid w:val="00F34AA4"/>
    <w:rsid w:val="00F34C14"/>
    <w:rsid w:val="00F34EB5"/>
    <w:rsid w:val="00F3510A"/>
    <w:rsid w:val="00F356B4"/>
    <w:rsid w:val="00F35A21"/>
    <w:rsid w:val="00F35BF3"/>
    <w:rsid w:val="00F35CBA"/>
    <w:rsid w:val="00F360F7"/>
    <w:rsid w:val="00F36442"/>
    <w:rsid w:val="00F36AC9"/>
    <w:rsid w:val="00F36FED"/>
    <w:rsid w:val="00F3732A"/>
    <w:rsid w:val="00F3738E"/>
    <w:rsid w:val="00F37FCF"/>
    <w:rsid w:val="00F409E4"/>
    <w:rsid w:val="00F412FC"/>
    <w:rsid w:val="00F41930"/>
    <w:rsid w:val="00F41952"/>
    <w:rsid w:val="00F41DDA"/>
    <w:rsid w:val="00F4240E"/>
    <w:rsid w:val="00F42443"/>
    <w:rsid w:val="00F429A4"/>
    <w:rsid w:val="00F434A1"/>
    <w:rsid w:val="00F43A73"/>
    <w:rsid w:val="00F43DFE"/>
    <w:rsid w:val="00F43F03"/>
    <w:rsid w:val="00F440DB"/>
    <w:rsid w:val="00F44329"/>
    <w:rsid w:val="00F4455E"/>
    <w:rsid w:val="00F44641"/>
    <w:rsid w:val="00F446C4"/>
    <w:rsid w:val="00F4484B"/>
    <w:rsid w:val="00F449FB"/>
    <w:rsid w:val="00F44B16"/>
    <w:rsid w:val="00F44D6A"/>
    <w:rsid w:val="00F450DB"/>
    <w:rsid w:val="00F455D1"/>
    <w:rsid w:val="00F457F1"/>
    <w:rsid w:val="00F459C9"/>
    <w:rsid w:val="00F45DB8"/>
    <w:rsid w:val="00F4645C"/>
    <w:rsid w:val="00F4657E"/>
    <w:rsid w:val="00F4657F"/>
    <w:rsid w:val="00F465D7"/>
    <w:rsid w:val="00F46675"/>
    <w:rsid w:val="00F46E0D"/>
    <w:rsid w:val="00F46E2D"/>
    <w:rsid w:val="00F470E9"/>
    <w:rsid w:val="00F47244"/>
    <w:rsid w:val="00F4760C"/>
    <w:rsid w:val="00F47AD3"/>
    <w:rsid w:val="00F47B62"/>
    <w:rsid w:val="00F47C4C"/>
    <w:rsid w:val="00F47FE1"/>
    <w:rsid w:val="00F5023E"/>
    <w:rsid w:val="00F503AC"/>
    <w:rsid w:val="00F50633"/>
    <w:rsid w:val="00F5063D"/>
    <w:rsid w:val="00F508ED"/>
    <w:rsid w:val="00F50C43"/>
    <w:rsid w:val="00F51191"/>
    <w:rsid w:val="00F5129B"/>
    <w:rsid w:val="00F518B5"/>
    <w:rsid w:val="00F51A20"/>
    <w:rsid w:val="00F51CB1"/>
    <w:rsid w:val="00F52555"/>
    <w:rsid w:val="00F527B3"/>
    <w:rsid w:val="00F5284F"/>
    <w:rsid w:val="00F529A9"/>
    <w:rsid w:val="00F52EAF"/>
    <w:rsid w:val="00F5349F"/>
    <w:rsid w:val="00F5369A"/>
    <w:rsid w:val="00F5371A"/>
    <w:rsid w:val="00F5376B"/>
    <w:rsid w:val="00F53992"/>
    <w:rsid w:val="00F53DC0"/>
    <w:rsid w:val="00F53F51"/>
    <w:rsid w:val="00F53FCE"/>
    <w:rsid w:val="00F54493"/>
    <w:rsid w:val="00F54759"/>
    <w:rsid w:val="00F54D25"/>
    <w:rsid w:val="00F551E0"/>
    <w:rsid w:val="00F5539E"/>
    <w:rsid w:val="00F55568"/>
    <w:rsid w:val="00F55EB7"/>
    <w:rsid w:val="00F560AA"/>
    <w:rsid w:val="00F5623F"/>
    <w:rsid w:val="00F562F1"/>
    <w:rsid w:val="00F56F84"/>
    <w:rsid w:val="00F5701D"/>
    <w:rsid w:val="00F57047"/>
    <w:rsid w:val="00F571C1"/>
    <w:rsid w:val="00F5721E"/>
    <w:rsid w:val="00F57709"/>
    <w:rsid w:val="00F57B9B"/>
    <w:rsid w:val="00F57D9F"/>
    <w:rsid w:val="00F57DF6"/>
    <w:rsid w:val="00F601BF"/>
    <w:rsid w:val="00F602E6"/>
    <w:rsid w:val="00F60AB5"/>
    <w:rsid w:val="00F60DE5"/>
    <w:rsid w:val="00F60FE3"/>
    <w:rsid w:val="00F61075"/>
    <w:rsid w:val="00F61098"/>
    <w:rsid w:val="00F6117E"/>
    <w:rsid w:val="00F6142A"/>
    <w:rsid w:val="00F6184E"/>
    <w:rsid w:val="00F61CEF"/>
    <w:rsid w:val="00F61D7E"/>
    <w:rsid w:val="00F62789"/>
    <w:rsid w:val="00F62A22"/>
    <w:rsid w:val="00F62CF5"/>
    <w:rsid w:val="00F63063"/>
    <w:rsid w:val="00F6374E"/>
    <w:rsid w:val="00F63D83"/>
    <w:rsid w:val="00F640AB"/>
    <w:rsid w:val="00F643A7"/>
    <w:rsid w:val="00F649B0"/>
    <w:rsid w:val="00F64C8E"/>
    <w:rsid w:val="00F65072"/>
    <w:rsid w:val="00F65119"/>
    <w:rsid w:val="00F6523A"/>
    <w:rsid w:val="00F65400"/>
    <w:rsid w:val="00F658F6"/>
    <w:rsid w:val="00F65948"/>
    <w:rsid w:val="00F659AF"/>
    <w:rsid w:val="00F66111"/>
    <w:rsid w:val="00F6617D"/>
    <w:rsid w:val="00F6661E"/>
    <w:rsid w:val="00F67DA0"/>
    <w:rsid w:val="00F70412"/>
    <w:rsid w:val="00F705EA"/>
    <w:rsid w:val="00F70645"/>
    <w:rsid w:val="00F706F4"/>
    <w:rsid w:val="00F70823"/>
    <w:rsid w:val="00F70E6C"/>
    <w:rsid w:val="00F71550"/>
    <w:rsid w:val="00F7183C"/>
    <w:rsid w:val="00F7196E"/>
    <w:rsid w:val="00F72180"/>
    <w:rsid w:val="00F721D3"/>
    <w:rsid w:val="00F7275A"/>
    <w:rsid w:val="00F72AAD"/>
    <w:rsid w:val="00F72AB4"/>
    <w:rsid w:val="00F72DD9"/>
    <w:rsid w:val="00F73016"/>
    <w:rsid w:val="00F73634"/>
    <w:rsid w:val="00F73A47"/>
    <w:rsid w:val="00F73EA3"/>
    <w:rsid w:val="00F741A8"/>
    <w:rsid w:val="00F742C2"/>
    <w:rsid w:val="00F7436F"/>
    <w:rsid w:val="00F743AD"/>
    <w:rsid w:val="00F7475D"/>
    <w:rsid w:val="00F74811"/>
    <w:rsid w:val="00F74F57"/>
    <w:rsid w:val="00F7515B"/>
    <w:rsid w:val="00F755CD"/>
    <w:rsid w:val="00F755DC"/>
    <w:rsid w:val="00F75664"/>
    <w:rsid w:val="00F75762"/>
    <w:rsid w:val="00F758E5"/>
    <w:rsid w:val="00F75958"/>
    <w:rsid w:val="00F76020"/>
    <w:rsid w:val="00F763ED"/>
    <w:rsid w:val="00F7645E"/>
    <w:rsid w:val="00F765B1"/>
    <w:rsid w:val="00F76D46"/>
    <w:rsid w:val="00F76ED6"/>
    <w:rsid w:val="00F77244"/>
    <w:rsid w:val="00F7743D"/>
    <w:rsid w:val="00F775A1"/>
    <w:rsid w:val="00F77C7B"/>
    <w:rsid w:val="00F77CF7"/>
    <w:rsid w:val="00F80115"/>
    <w:rsid w:val="00F801BC"/>
    <w:rsid w:val="00F80590"/>
    <w:rsid w:val="00F80C23"/>
    <w:rsid w:val="00F8103B"/>
    <w:rsid w:val="00F81399"/>
    <w:rsid w:val="00F81B02"/>
    <w:rsid w:val="00F81ECD"/>
    <w:rsid w:val="00F82154"/>
    <w:rsid w:val="00F825E4"/>
    <w:rsid w:val="00F829CA"/>
    <w:rsid w:val="00F82A40"/>
    <w:rsid w:val="00F82A92"/>
    <w:rsid w:val="00F82C9F"/>
    <w:rsid w:val="00F82D93"/>
    <w:rsid w:val="00F831AE"/>
    <w:rsid w:val="00F831B1"/>
    <w:rsid w:val="00F83898"/>
    <w:rsid w:val="00F83ACD"/>
    <w:rsid w:val="00F83D22"/>
    <w:rsid w:val="00F842D3"/>
    <w:rsid w:val="00F8440C"/>
    <w:rsid w:val="00F846B3"/>
    <w:rsid w:val="00F848E0"/>
    <w:rsid w:val="00F84993"/>
    <w:rsid w:val="00F84CD9"/>
    <w:rsid w:val="00F84CFE"/>
    <w:rsid w:val="00F84E2F"/>
    <w:rsid w:val="00F84FC2"/>
    <w:rsid w:val="00F85045"/>
    <w:rsid w:val="00F8525C"/>
    <w:rsid w:val="00F852EB"/>
    <w:rsid w:val="00F85364"/>
    <w:rsid w:val="00F85402"/>
    <w:rsid w:val="00F85884"/>
    <w:rsid w:val="00F8648D"/>
    <w:rsid w:val="00F86828"/>
    <w:rsid w:val="00F868C5"/>
    <w:rsid w:val="00F86971"/>
    <w:rsid w:val="00F873E5"/>
    <w:rsid w:val="00F87733"/>
    <w:rsid w:val="00F900B5"/>
    <w:rsid w:val="00F901CF"/>
    <w:rsid w:val="00F901D7"/>
    <w:rsid w:val="00F90902"/>
    <w:rsid w:val="00F9125A"/>
    <w:rsid w:val="00F91CD2"/>
    <w:rsid w:val="00F9229F"/>
    <w:rsid w:val="00F9258D"/>
    <w:rsid w:val="00F92EF7"/>
    <w:rsid w:val="00F92F77"/>
    <w:rsid w:val="00F93182"/>
    <w:rsid w:val="00F934F7"/>
    <w:rsid w:val="00F935AF"/>
    <w:rsid w:val="00F93FDD"/>
    <w:rsid w:val="00F94031"/>
    <w:rsid w:val="00F940D2"/>
    <w:rsid w:val="00F94969"/>
    <w:rsid w:val="00F949BF"/>
    <w:rsid w:val="00F94BD5"/>
    <w:rsid w:val="00F94D3D"/>
    <w:rsid w:val="00F94E3C"/>
    <w:rsid w:val="00F952C9"/>
    <w:rsid w:val="00F955CE"/>
    <w:rsid w:val="00F95FE2"/>
    <w:rsid w:val="00F9612A"/>
    <w:rsid w:val="00F96217"/>
    <w:rsid w:val="00F9642A"/>
    <w:rsid w:val="00F97197"/>
    <w:rsid w:val="00F974DF"/>
    <w:rsid w:val="00F97BA5"/>
    <w:rsid w:val="00F97C08"/>
    <w:rsid w:val="00F97F89"/>
    <w:rsid w:val="00FA02AC"/>
    <w:rsid w:val="00FA0640"/>
    <w:rsid w:val="00FA08E4"/>
    <w:rsid w:val="00FA0AFD"/>
    <w:rsid w:val="00FA1045"/>
    <w:rsid w:val="00FA12B6"/>
    <w:rsid w:val="00FA1459"/>
    <w:rsid w:val="00FA16CC"/>
    <w:rsid w:val="00FA19F7"/>
    <w:rsid w:val="00FA1AE8"/>
    <w:rsid w:val="00FA1EDA"/>
    <w:rsid w:val="00FA2323"/>
    <w:rsid w:val="00FA2626"/>
    <w:rsid w:val="00FA2681"/>
    <w:rsid w:val="00FA27AC"/>
    <w:rsid w:val="00FA29B9"/>
    <w:rsid w:val="00FA2A41"/>
    <w:rsid w:val="00FA2B4B"/>
    <w:rsid w:val="00FA2E18"/>
    <w:rsid w:val="00FA2F35"/>
    <w:rsid w:val="00FA317A"/>
    <w:rsid w:val="00FA3908"/>
    <w:rsid w:val="00FA3A63"/>
    <w:rsid w:val="00FA3A72"/>
    <w:rsid w:val="00FA3CE3"/>
    <w:rsid w:val="00FA3F23"/>
    <w:rsid w:val="00FA48DA"/>
    <w:rsid w:val="00FA5068"/>
    <w:rsid w:val="00FA5421"/>
    <w:rsid w:val="00FA5700"/>
    <w:rsid w:val="00FA5932"/>
    <w:rsid w:val="00FA5C15"/>
    <w:rsid w:val="00FA5EE8"/>
    <w:rsid w:val="00FA6490"/>
    <w:rsid w:val="00FA6CB3"/>
    <w:rsid w:val="00FA739C"/>
    <w:rsid w:val="00FA79F7"/>
    <w:rsid w:val="00FA7B48"/>
    <w:rsid w:val="00FB00A6"/>
    <w:rsid w:val="00FB01C5"/>
    <w:rsid w:val="00FB10BD"/>
    <w:rsid w:val="00FB11A5"/>
    <w:rsid w:val="00FB132B"/>
    <w:rsid w:val="00FB1BE7"/>
    <w:rsid w:val="00FB1FBD"/>
    <w:rsid w:val="00FB20AE"/>
    <w:rsid w:val="00FB23C2"/>
    <w:rsid w:val="00FB2512"/>
    <w:rsid w:val="00FB25B6"/>
    <w:rsid w:val="00FB2614"/>
    <w:rsid w:val="00FB2866"/>
    <w:rsid w:val="00FB2ACC"/>
    <w:rsid w:val="00FB3682"/>
    <w:rsid w:val="00FB3B5F"/>
    <w:rsid w:val="00FB3BA4"/>
    <w:rsid w:val="00FB3D72"/>
    <w:rsid w:val="00FB416D"/>
    <w:rsid w:val="00FB4692"/>
    <w:rsid w:val="00FB49BB"/>
    <w:rsid w:val="00FB4D7E"/>
    <w:rsid w:val="00FB521E"/>
    <w:rsid w:val="00FB5247"/>
    <w:rsid w:val="00FB563C"/>
    <w:rsid w:val="00FB5CF8"/>
    <w:rsid w:val="00FB6425"/>
    <w:rsid w:val="00FB6CCD"/>
    <w:rsid w:val="00FB6E48"/>
    <w:rsid w:val="00FB6F25"/>
    <w:rsid w:val="00FB746D"/>
    <w:rsid w:val="00FB777D"/>
    <w:rsid w:val="00FB7B05"/>
    <w:rsid w:val="00FB7F41"/>
    <w:rsid w:val="00FB7F76"/>
    <w:rsid w:val="00FC0157"/>
    <w:rsid w:val="00FC0396"/>
    <w:rsid w:val="00FC06B9"/>
    <w:rsid w:val="00FC07AC"/>
    <w:rsid w:val="00FC0A24"/>
    <w:rsid w:val="00FC109F"/>
    <w:rsid w:val="00FC17F6"/>
    <w:rsid w:val="00FC1959"/>
    <w:rsid w:val="00FC1DE2"/>
    <w:rsid w:val="00FC23F8"/>
    <w:rsid w:val="00FC2635"/>
    <w:rsid w:val="00FC2B8B"/>
    <w:rsid w:val="00FC2FEE"/>
    <w:rsid w:val="00FC3188"/>
    <w:rsid w:val="00FC34B6"/>
    <w:rsid w:val="00FC36AC"/>
    <w:rsid w:val="00FC421C"/>
    <w:rsid w:val="00FC434E"/>
    <w:rsid w:val="00FC4382"/>
    <w:rsid w:val="00FC46ED"/>
    <w:rsid w:val="00FC4790"/>
    <w:rsid w:val="00FC490B"/>
    <w:rsid w:val="00FC4E7A"/>
    <w:rsid w:val="00FC524E"/>
    <w:rsid w:val="00FC5524"/>
    <w:rsid w:val="00FC595C"/>
    <w:rsid w:val="00FC5B1C"/>
    <w:rsid w:val="00FC5F3C"/>
    <w:rsid w:val="00FC5F83"/>
    <w:rsid w:val="00FC617D"/>
    <w:rsid w:val="00FC630A"/>
    <w:rsid w:val="00FC6B6B"/>
    <w:rsid w:val="00FC6D2C"/>
    <w:rsid w:val="00FC6F07"/>
    <w:rsid w:val="00FC739F"/>
    <w:rsid w:val="00FC7A03"/>
    <w:rsid w:val="00FC7AE3"/>
    <w:rsid w:val="00FC7D5D"/>
    <w:rsid w:val="00FC7E54"/>
    <w:rsid w:val="00FD0496"/>
    <w:rsid w:val="00FD0843"/>
    <w:rsid w:val="00FD08CF"/>
    <w:rsid w:val="00FD0B22"/>
    <w:rsid w:val="00FD10D5"/>
    <w:rsid w:val="00FD1727"/>
    <w:rsid w:val="00FD2054"/>
    <w:rsid w:val="00FD228C"/>
    <w:rsid w:val="00FD241E"/>
    <w:rsid w:val="00FD2517"/>
    <w:rsid w:val="00FD2817"/>
    <w:rsid w:val="00FD28E1"/>
    <w:rsid w:val="00FD29D4"/>
    <w:rsid w:val="00FD2B00"/>
    <w:rsid w:val="00FD3199"/>
    <w:rsid w:val="00FD34C3"/>
    <w:rsid w:val="00FD4038"/>
    <w:rsid w:val="00FD4086"/>
    <w:rsid w:val="00FD4190"/>
    <w:rsid w:val="00FD424A"/>
    <w:rsid w:val="00FD4443"/>
    <w:rsid w:val="00FD4D6B"/>
    <w:rsid w:val="00FD5288"/>
    <w:rsid w:val="00FD5B54"/>
    <w:rsid w:val="00FD5EBB"/>
    <w:rsid w:val="00FD6521"/>
    <w:rsid w:val="00FD6DF3"/>
    <w:rsid w:val="00FD6F45"/>
    <w:rsid w:val="00FD7344"/>
    <w:rsid w:val="00FD7776"/>
    <w:rsid w:val="00FD79F0"/>
    <w:rsid w:val="00FD7ACD"/>
    <w:rsid w:val="00FD7D80"/>
    <w:rsid w:val="00FE09A0"/>
    <w:rsid w:val="00FE1019"/>
    <w:rsid w:val="00FE1B9E"/>
    <w:rsid w:val="00FE21CB"/>
    <w:rsid w:val="00FE2324"/>
    <w:rsid w:val="00FE25A7"/>
    <w:rsid w:val="00FE32ED"/>
    <w:rsid w:val="00FE34B9"/>
    <w:rsid w:val="00FE3ADA"/>
    <w:rsid w:val="00FE4502"/>
    <w:rsid w:val="00FE4518"/>
    <w:rsid w:val="00FE4AA6"/>
    <w:rsid w:val="00FE510C"/>
    <w:rsid w:val="00FE538D"/>
    <w:rsid w:val="00FE5445"/>
    <w:rsid w:val="00FE54A1"/>
    <w:rsid w:val="00FE56D0"/>
    <w:rsid w:val="00FE5983"/>
    <w:rsid w:val="00FE59E6"/>
    <w:rsid w:val="00FE5BE5"/>
    <w:rsid w:val="00FE5F2A"/>
    <w:rsid w:val="00FE66D2"/>
    <w:rsid w:val="00FE67CC"/>
    <w:rsid w:val="00FE72E4"/>
    <w:rsid w:val="00FE740A"/>
    <w:rsid w:val="00FE7A64"/>
    <w:rsid w:val="00FF00E6"/>
    <w:rsid w:val="00FF0423"/>
    <w:rsid w:val="00FF048E"/>
    <w:rsid w:val="00FF0E36"/>
    <w:rsid w:val="00FF1433"/>
    <w:rsid w:val="00FF1A94"/>
    <w:rsid w:val="00FF1B4D"/>
    <w:rsid w:val="00FF1B64"/>
    <w:rsid w:val="00FF1BAA"/>
    <w:rsid w:val="00FF1FB3"/>
    <w:rsid w:val="00FF2074"/>
    <w:rsid w:val="00FF21AE"/>
    <w:rsid w:val="00FF224E"/>
    <w:rsid w:val="00FF230B"/>
    <w:rsid w:val="00FF255F"/>
    <w:rsid w:val="00FF2681"/>
    <w:rsid w:val="00FF275E"/>
    <w:rsid w:val="00FF2943"/>
    <w:rsid w:val="00FF2FEE"/>
    <w:rsid w:val="00FF313C"/>
    <w:rsid w:val="00FF3499"/>
    <w:rsid w:val="00FF35E7"/>
    <w:rsid w:val="00FF384E"/>
    <w:rsid w:val="00FF388E"/>
    <w:rsid w:val="00FF3D6F"/>
    <w:rsid w:val="00FF42F1"/>
    <w:rsid w:val="00FF44F2"/>
    <w:rsid w:val="00FF4534"/>
    <w:rsid w:val="00FF49AF"/>
    <w:rsid w:val="00FF4C87"/>
    <w:rsid w:val="00FF4FA1"/>
    <w:rsid w:val="00FF5171"/>
    <w:rsid w:val="00FF536D"/>
    <w:rsid w:val="00FF5564"/>
    <w:rsid w:val="00FF55F3"/>
    <w:rsid w:val="00FF578F"/>
    <w:rsid w:val="00FF588D"/>
    <w:rsid w:val="00FF60E2"/>
    <w:rsid w:val="00FF638B"/>
    <w:rsid w:val="00FF6587"/>
    <w:rsid w:val="00FF692B"/>
    <w:rsid w:val="00FF6A6A"/>
    <w:rsid w:val="00FF6DC4"/>
    <w:rsid w:val="00FF70C1"/>
    <w:rsid w:val="00FF7384"/>
    <w:rsid w:val="00FF7855"/>
    <w:rsid w:val="00FF7E42"/>
    <w:rsid w:val="00FF7F1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strokecolor="#31527b">
      <v:stroke endarrow="open" color="#31527b" weight="1.5pt"/>
      <o:colormru v:ext="edit" colors="#995979"/>
    </o:shapedefaults>
    <o:shapelayout v:ext="edit">
      <o:idmap v:ext="edit" data="1"/>
    </o:shapelayout>
  </w:shapeDefaults>
  <w:decimalSymbol w:val=","/>
  <w:listSeparator w:val=";"/>
  <w14:docId w14:val="7AD7E808"/>
  <w15:chartTrackingRefBased/>
  <w15:docId w15:val="{A24B6B24-8774-4512-9765-269AA2931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cs-CZ" w:eastAsia="cs-CZ" w:bidi="ar-SA"/>
      </w:rPr>
    </w:rPrDefault>
    <w:pPrDefault/>
  </w:docDefaults>
  <w:latentStyles w:defLockedState="1" w:defUIPriority="0" w:defSemiHidden="0" w:defUnhideWhenUsed="0" w:defQFormat="0" w:count="371">
    <w:lsdException w:name="Normal" w:locked="0" w:qFormat="1"/>
    <w:lsdException w:name="heading 1" w:locked="0" w:uiPriority="9" w:qFormat="1"/>
    <w:lsdException w:name="heading 2" w:locked="0" w:uiPriority="9" w:qFormat="1"/>
    <w:lsdException w:name="heading 3" w:locked="0" w:uiPriority="9"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toc 1" w:uiPriority="39"/>
    <w:lsdException w:name="toc 2" w:uiPriority="39"/>
    <w:lsdException w:name="toc 3" w:locked="0" w:semiHidden="1" w:uiPriority="39"/>
    <w:lsdException w:name="toc 4" w:locked="0" w:semiHidden="1"/>
    <w:lsdException w:name="toc 5" w:locked="0" w:semiHidden="1"/>
    <w:lsdException w:name="toc 6" w:locked="0" w:semiHidden="1"/>
    <w:lsdException w:name="toc 7" w:locked="0" w:semiHidden="1"/>
    <w:lsdException w:name="toc 8" w:locked="0" w:semiHidden="1"/>
    <w:lsdException w:name="toc 9" w:locked="0" w:semiHidden="1"/>
    <w:lsdException w:name="Normal Indent" w:locked="0" w:semiHidden="1"/>
    <w:lsdException w:name="footnote text" w:locked="0" w:uiPriority="99" w:qFormat="1"/>
    <w:lsdException w:name="annotation text" w:locked="0" w:uiPriority="99"/>
    <w:lsdException w:name="caption" w:locked="0" w:qFormat="1"/>
    <w:lsdException w:name="table of figures" w:locked="0" w:uiPriority="99"/>
    <w:lsdException w:name="footnote reference" w:locked="0" w:uiPriority="99"/>
    <w:lsdException w:name="annotation reference" w:locked="0" w:uiPriority="99"/>
    <w:lsdException w:name="Title" w:locked="0"/>
    <w:lsdException w:name="Signature" w:locked="0" w:semiHidden="1"/>
    <w:lsdException w:name="Default Paragraph Font" w:locked="0" w:uiPriority="1"/>
    <w:lsdException w:name="List Continue" w:semiHidden="1"/>
    <w:lsdException w:name="List Continue 2" w:semiHidden="1"/>
    <w:lsdException w:name="List Continue 3" w:semiHidden="1"/>
    <w:lsdException w:name="List Continue 4" w:semiHidden="1"/>
    <w:lsdException w:name="List Continue 5" w:semiHidden="1"/>
    <w:lsdException w:name="Salutation" w:semiHidden="1"/>
    <w:lsdException w:name="Hyperlink" w:uiPriority="99"/>
    <w:lsdException w:name="Strong" w:qFormat="1"/>
    <w:lsdException w:name="Document Map" w:locked="0"/>
    <w:lsdException w:name="Plain Text" w:semiHidden="1"/>
    <w:lsdException w:name="E-mail Signature" w:locked="0" w:semiHidden="1"/>
    <w:lsdException w:name="HTML Top of Form" w:locked="0"/>
    <w:lsdException w:name="HTML Bottom of Form" w:locked="0"/>
    <w:lsdException w:name="Normal (Web)" w:locked="0" w:semiHidden="1" w:uiPriority="99"/>
    <w:lsdException w:name="HTML Typewriter" w:semiHidden="1"/>
    <w:lsdException w:name="HTML Variable" w:semiHidden="1"/>
    <w:lsdException w:name="Normal Table" w:locked="0" w:semiHidden="1" w:unhideWhenUsed="1"/>
    <w:lsdException w:name="annotation subject" w:locked="0"/>
    <w:lsdException w:name="No List" w:locked="0" w:uiPriority="99"/>
    <w:lsdException w:name="Outline List 1" w:locked="0"/>
    <w:lsdException w:name="Outline List 2" w:locked="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lsdException w:name="Table Grid" w:uiPriority="59"/>
    <w:lsdException w:name="Table Theme" w:semiHidden="1" w:unhideWhenUsed="1"/>
    <w:lsdException w:name="Placeholder Text" w:locked="0"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locked="0" w:semiHidden="1" w:uiPriority="37" w:unhideWhenUsed="1"/>
    <w:lsdException w:name="TOC Heading" w:locked="0"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ln">
    <w:name w:val="Normal"/>
    <w:hidden/>
    <w:qFormat/>
    <w:rsid w:val="00993E97"/>
    <w:pPr>
      <w:spacing w:after="120"/>
      <w:jc w:val="both"/>
    </w:pPr>
  </w:style>
  <w:style w:type="paragraph" w:styleId="Nadpis1">
    <w:name w:val="heading 1"/>
    <w:basedOn w:val="Normln"/>
    <w:next w:val="Normln"/>
    <w:uiPriority w:val="9"/>
    <w:qFormat/>
    <w:rsid w:val="0087101F"/>
    <w:pPr>
      <w:keepNext/>
      <w:pageBreakBefore/>
      <w:numPr>
        <w:numId w:val="1"/>
      </w:numPr>
      <w:outlineLvl w:val="0"/>
    </w:pPr>
    <w:rPr>
      <w:rFonts w:cs="Arial"/>
      <w:b/>
      <w:bCs/>
      <w:kern w:val="32"/>
      <w:sz w:val="40"/>
      <w:szCs w:val="32"/>
    </w:rPr>
  </w:style>
  <w:style w:type="paragraph" w:styleId="Nadpis2">
    <w:name w:val="heading 2"/>
    <w:basedOn w:val="Normln"/>
    <w:next w:val="Normln"/>
    <w:link w:val="Nadpis2Char"/>
    <w:uiPriority w:val="9"/>
    <w:qFormat/>
    <w:rsid w:val="000D1C42"/>
    <w:pPr>
      <w:keepNext/>
      <w:numPr>
        <w:ilvl w:val="1"/>
        <w:numId w:val="1"/>
      </w:numPr>
      <w:pBdr>
        <w:bottom w:val="single" w:sz="12" w:space="1" w:color="E5DFEC"/>
      </w:pBdr>
      <w:spacing w:before="480" w:after="60"/>
      <w:ind w:left="851"/>
      <w:outlineLvl w:val="1"/>
    </w:pPr>
    <w:rPr>
      <w:rFonts w:cs="Arial"/>
      <w:b/>
      <w:bCs/>
      <w:iCs/>
      <w:sz w:val="28"/>
      <w:szCs w:val="28"/>
    </w:rPr>
  </w:style>
  <w:style w:type="paragraph" w:styleId="Nadpis3">
    <w:name w:val="heading 3"/>
    <w:basedOn w:val="Normln"/>
    <w:next w:val="Normln"/>
    <w:uiPriority w:val="9"/>
    <w:qFormat/>
    <w:rsid w:val="00414548"/>
    <w:pPr>
      <w:keepNext/>
      <w:numPr>
        <w:ilvl w:val="2"/>
        <w:numId w:val="1"/>
      </w:numPr>
      <w:spacing w:before="240" w:after="0"/>
      <w:ind w:left="720"/>
      <w:jc w:val="left"/>
      <w:outlineLvl w:val="2"/>
    </w:pPr>
    <w:rPr>
      <w:rFonts w:cs="Arial"/>
      <w:b/>
      <w:bCs/>
      <w:sz w:val="24"/>
      <w:szCs w:val="26"/>
    </w:rPr>
  </w:style>
  <w:style w:type="paragraph" w:styleId="Nadpis4">
    <w:name w:val="heading 4"/>
    <w:basedOn w:val="Nadpis3"/>
    <w:next w:val="Normln"/>
    <w:qFormat/>
    <w:rsid w:val="00C3222C"/>
    <w:pPr>
      <w:numPr>
        <w:ilvl w:val="0"/>
        <w:numId w:val="0"/>
      </w:numPr>
      <w:tabs>
        <w:tab w:val="num" w:pos="864"/>
      </w:tabs>
      <w:spacing w:before="120"/>
      <w:outlineLvl w:val="3"/>
    </w:pPr>
    <w:rPr>
      <w:bCs w:val="0"/>
      <w:szCs w:val="28"/>
    </w:rPr>
  </w:style>
  <w:style w:type="paragraph" w:styleId="Nadpis5">
    <w:name w:val="heading 5"/>
    <w:basedOn w:val="Normln"/>
    <w:next w:val="Normln"/>
    <w:qFormat/>
    <w:rsid w:val="00D1643C"/>
    <w:pPr>
      <w:keepNext/>
      <w:tabs>
        <w:tab w:val="num" w:pos="1008"/>
      </w:tabs>
      <w:spacing w:before="480" w:after="480"/>
      <w:ind w:left="1009" w:hanging="1009"/>
      <w:outlineLvl w:val="4"/>
    </w:pPr>
    <w:rPr>
      <w:rFonts w:ascii="Arial" w:hAnsi="Arial"/>
      <w:b/>
      <w:bCs/>
    </w:rPr>
  </w:style>
  <w:style w:type="paragraph" w:styleId="Nadpis6">
    <w:name w:val="heading 6"/>
    <w:basedOn w:val="Nadpis1"/>
    <w:next w:val="Normln"/>
    <w:qFormat/>
    <w:rsid w:val="00EB1B67"/>
    <w:pPr>
      <w:keepLines/>
      <w:numPr>
        <w:numId w:val="0"/>
      </w:numPr>
      <w:tabs>
        <w:tab w:val="num" w:pos="1152"/>
      </w:tabs>
      <w:outlineLvl w:val="5"/>
    </w:pPr>
    <w:rPr>
      <w:b w:val="0"/>
      <w:bCs w:val="0"/>
      <w:szCs w:val="22"/>
    </w:rPr>
  </w:style>
  <w:style w:type="paragraph" w:styleId="Nadpis7">
    <w:name w:val="heading 7"/>
    <w:basedOn w:val="Normln"/>
    <w:next w:val="Normln"/>
    <w:qFormat/>
    <w:rsid w:val="00D1643C"/>
    <w:pPr>
      <w:tabs>
        <w:tab w:val="num" w:pos="1296"/>
      </w:tabs>
      <w:spacing w:before="240" w:after="60"/>
      <w:ind w:left="1296" w:hanging="1296"/>
      <w:outlineLvl w:val="6"/>
    </w:pPr>
    <w:rPr>
      <w:rFonts w:ascii="Times New Roman" w:hAnsi="Times New Roman"/>
      <w:sz w:val="24"/>
    </w:rPr>
  </w:style>
  <w:style w:type="paragraph" w:styleId="Nadpis8">
    <w:name w:val="heading 8"/>
    <w:basedOn w:val="Normln"/>
    <w:next w:val="Normln"/>
    <w:qFormat/>
    <w:rsid w:val="00D1643C"/>
    <w:pPr>
      <w:tabs>
        <w:tab w:val="num" w:pos="1440"/>
      </w:tabs>
      <w:spacing w:before="240" w:after="60"/>
      <w:ind w:left="1440" w:hanging="1440"/>
      <w:outlineLvl w:val="7"/>
    </w:pPr>
    <w:rPr>
      <w:rFonts w:ascii="Times New Roman" w:hAnsi="Times New Roman"/>
      <w:i/>
      <w:iCs/>
      <w:sz w:val="24"/>
    </w:rPr>
  </w:style>
  <w:style w:type="paragraph" w:styleId="Nadpis9">
    <w:name w:val="heading 9"/>
    <w:basedOn w:val="Normln"/>
    <w:next w:val="Normln"/>
    <w:qFormat/>
    <w:rsid w:val="00D1643C"/>
    <w:pPr>
      <w:keepNext/>
      <w:tabs>
        <w:tab w:val="num" w:pos="1584"/>
      </w:tabs>
      <w:ind w:left="1584" w:hanging="1584"/>
      <w:jc w:val="center"/>
      <w:outlineLvl w:val="8"/>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locked/>
    <w:rsid w:val="00175F17"/>
    <w:pPr>
      <w:tabs>
        <w:tab w:val="center" w:pos="4536"/>
        <w:tab w:val="right" w:pos="9072"/>
      </w:tabs>
    </w:pPr>
  </w:style>
  <w:style w:type="paragraph" w:styleId="Zpat">
    <w:name w:val="footer"/>
    <w:basedOn w:val="Normln"/>
    <w:link w:val="ZpatChar"/>
    <w:locked/>
    <w:rsid w:val="00AB21B0"/>
    <w:pPr>
      <w:tabs>
        <w:tab w:val="center" w:pos="4536"/>
        <w:tab w:val="right" w:pos="9072"/>
      </w:tabs>
      <w:jc w:val="right"/>
    </w:pPr>
  </w:style>
  <w:style w:type="character" w:styleId="slostrnky">
    <w:name w:val="page number"/>
    <w:locked/>
    <w:rsid w:val="00175F17"/>
    <w:rPr>
      <w:rFonts w:ascii="Calibri" w:hAnsi="Calibri"/>
      <w:sz w:val="16"/>
    </w:rPr>
  </w:style>
  <w:style w:type="character" w:styleId="Hypertextovodkaz">
    <w:name w:val="Hyperlink"/>
    <w:uiPriority w:val="99"/>
    <w:locked/>
    <w:rsid w:val="007C5685"/>
    <w:rPr>
      <w:color w:val="0000FF"/>
      <w:u w:val="single"/>
    </w:rPr>
  </w:style>
  <w:style w:type="paragraph" w:styleId="Obsah1">
    <w:name w:val="toc 1"/>
    <w:basedOn w:val="Normln"/>
    <w:next w:val="Normln"/>
    <w:autoRedefine/>
    <w:uiPriority w:val="39"/>
    <w:locked/>
    <w:rsid w:val="006A45B6"/>
    <w:pPr>
      <w:tabs>
        <w:tab w:val="left" w:pos="284"/>
        <w:tab w:val="right" w:leader="dot" w:pos="9628"/>
      </w:tabs>
      <w:spacing w:before="120" w:after="60"/>
    </w:pPr>
    <w:rPr>
      <w:b/>
      <w:noProof/>
    </w:rPr>
  </w:style>
  <w:style w:type="paragraph" w:styleId="Obsah2">
    <w:name w:val="toc 2"/>
    <w:basedOn w:val="Normln"/>
    <w:next w:val="Normln"/>
    <w:autoRedefine/>
    <w:uiPriority w:val="39"/>
    <w:locked/>
    <w:rsid w:val="008E639C"/>
    <w:pPr>
      <w:tabs>
        <w:tab w:val="left" w:pos="960"/>
        <w:tab w:val="right" w:leader="dot" w:pos="9628"/>
      </w:tabs>
      <w:spacing w:after="60"/>
      <w:ind w:left="397"/>
    </w:pPr>
  </w:style>
  <w:style w:type="paragraph" w:customStyle="1" w:styleId="Nadpiszacatek">
    <w:name w:val="Nadpis zacatek"/>
    <w:basedOn w:val="Normln"/>
    <w:semiHidden/>
    <w:rsid w:val="00D15AE3"/>
    <w:pPr>
      <w:spacing w:after="240"/>
    </w:pPr>
    <w:rPr>
      <w:b/>
      <w:bCs/>
      <w:sz w:val="32"/>
    </w:rPr>
  </w:style>
  <w:style w:type="paragraph" w:styleId="Seznamobrzk">
    <w:name w:val="table of figures"/>
    <w:basedOn w:val="Normln"/>
    <w:next w:val="Normln"/>
    <w:uiPriority w:val="99"/>
    <w:rsid w:val="004C24F6"/>
    <w:pPr>
      <w:tabs>
        <w:tab w:val="right" w:leader="dot" w:pos="9639"/>
      </w:tabs>
      <w:spacing w:after="60"/>
    </w:pPr>
  </w:style>
  <w:style w:type="paragraph" w:customStyle="1" w:styleId="SRNadpismal">
    <w:name w:val="SR_Nadpis malý"/>
    <w:next w:val="Normln"/>
    <w:qFormat/>
    <w:rsid w:val="00FB23C2"/>
    <w:pPr>
      <w:keepNext/>
      <w:keepLines/>
      <w:pageBreakBefore/>
      <w:spacing w:after="240"/>
      <w:jc w:val="both"/>
    </w:pPr>
    <w:rPr>
      <w:b/>
      <w:sz w:val="28"/>
      <w:szCs w:val="24"/>
    </w:rPr>
  </w:style>
  <w:style w:type="paragraph" w:customStyle="1" w:styleId="Seznamliteratury">
    <w:name w:val="Seznam literatury"/>
    <w:basedOn w:val="Normln"/>
    <w:uiPriority w:val="99"/>
    <w:qFormat/>
    <w:rsid w:val="00171720"/>
    <w:pPr>
      <w:ind w:left="540" w:hanging="540"/>
    </w:pPr>
  </w:style>
  <w:style w:type="paragraph" w:styleId="Titulek">
    <w:name w:val="caption"/>
    <w:basedOn w:val="Normln"/>
    <w:next w:val="Normln"/>
    <w:link w:val="TitulekChar"/>
    <w:qFormat/>
    <w:rsid w:val="00664E22"/>
    <w:pPr>
      <w:keepNext/>
      <w:keepLines/>
      <w:spacing w:before="240" w:after="0"/>
    </w:pPr>
    <w:rPr>
      <w:b/>
      <w:bCs/>
    </w:rPr>
  </w:style>
  <w:style w:type="paragraph" w:customStyle="1" w:styleId="Odkazyvvodnmboxu">
    <w:name w:val="Odkazy v úvodním boxu"/>
    <w:basedOn w:val="Normln"/>
    <w:rsid w:val="007C5685"/>
    <w:pPr>
      <w:ind w:left="567"/>
    </w:pPr>
    <w:rPr>
      <w:b/>
      <w:bCs/>
      <w:i/>
      <w:iCs/>
    </w:rPr>
  </w:style>
  <w:style w:type="paragraph" w:customStyle="1" w:styleId="Seznamzkratek">
    <w:name w:val="Seznam zkratek"/>
    <w:basedOn w:val="Normln"/>
    <w:rsid w:val="00D1643C"/>
    <w:pPr>
      <w:tabs>
        <w:tab w:val="left" w:leader="dot" w:pos="3119"/>
      </w:tabs>
      <w:spacing w:after="0" w:line="264" w:lineRule="auto"/>
    </w:pPr>
  </w:style>
  <w:style w:type="paragraph" w:customStyle="1" w:styleId="Zdrojpoznmkapodtabulkougrafem">
    <w:name w:val="Zdroj/poznámka pod tabulkou/grafem"/>
    <w:basedOn w:val="Normln"/>
    <w:next w:val="Normln"/>
    <w:link w:val="ZdrojpoznmkapodtabulkougrafemCharChar"/>
    <w:rsid w:val="0018512F"/>
    <w:pPr>
      <w:spacing w:after="240"/>
      <w:contextualSpacing/>
    </w:pPr>
    <w:rPr>
      <w:i/>
      <w:sz w:val="16"/>
      <w:szCs w:val="16"/>
    </w:rPr>
  </w:style>
  <w:style w:type="character" w:customStyle="1" w:styleId="ZdrojpoznmkapodtabulkougrafemCharChar">
    <w:name w:val="Zdroj/poznámka pod tabulkou/grafem Char Char"/>
    <w:link w:val="Zdrojpoznmkapodtabulkougrafem"/>
    <w:rsid w:val="0018512F"/>
    <w:rPr>
      <w:rFonts w:ascii="Calibri" w:hAnsi="Calibri"/>
      <w:i/>
      <w:sz w:val="16"/>
      <w:szCs w:val="16"/>
    </w:rPr>
  </w:style>
  <w:style w:type="table" w:styleId="Mkatabulky">
    <w:name w:val="Table Grid"/>
    <w:basedOn w:val="Normlntabulka"/>
    <w:uiPriority w:val="59"/>
    <w:locked/>
    <w:rsid w:val="00650288"/>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Nadpis1bezsla">
    <w:name w:val="Styl Nadpis 1 bez čísla"/>
    <w:basedOn w:val="Nadpis1"/>
    <w:semiHidden/>
    <w:locked/>
    <w:rsid w:val="00C341C7"/>
    <w:pPr>
      <w:ind w:left="0" w:firstLine="0"/>
    </w:pPr>
    <w:rPr>
      <w:rFonts w:cs="Times New Roman"/>
      <w:szCs w:val="20"/>
    </w:rPr>
  </w:style>
  <w:style w:type="paragraph" w:customStyle="1" w:styleId="Jednotkypodnadpisemgrafunebotabulky">
    <w:name w:val="Jednotky pod nadpisem grafu nebo tabulky"/>
    <w:basedOn w:val="Normln"/>
    <w:rsid w:val="00032079"/>
    <w:pPr>
      <w:keepNext/>
      <w:spacing w:after="0"/>
    </w:pPr>
    <w:rPr>
      <w:i/>
      <w:iCs/>
      <w:sz w:val="16"/>
    </w:rPr>
  </w:style>
  <w:style w:type="character" w:styleId="Znakapoznpodarou">
    <w:name w:val="footnote reference"/>
    <w:aliases w:val="Footnote symbol,Footnote reference number,Times 10 Point,Exposant 3 Point,EN Footnote Reference,note TESI, Exposant 3 Point,PGI Fußnote Ziffer + Times New Roman,12 b.,Zúžené o ...,PGI Fußnote Ziffer,BVI fnr,Footnote call,SUPERS,R"/>
    <w:link w:val="FootnotesymbolCarZchn"/>
    <w:uiPriority w:val="99"/>
    <w:rsid w:val="005101FC"/>
    <w:rPr>
      <w:vertAlign w:val="superscript"/>
    </w:rPr>
  </w:style>
  <w:style w:type="paragraph" w:customStyle="1" w:styleId="Titulky">
    <w:name w:val="Titulky"/>
    <w:basedOn w:val="Titulek"/>
    <w:semiHidden/>
    <w:rsid w:val="00AB37AF"/>
    <w:pPr>
      <w:keepLines w:val="0"/>
      <w:spacing w:beforeLines="75" w:before="180"/>
      <w:jc w:val="left"/>
    </w:pPr>
    <w:rPr>
      <w:rFonts w:ascii="Arial" w:hAnsi="Arial"/>
    </w:rPr>
  </w:style>
  <w:style w:type="paragraph" w:customStyle="1" w:styleId="Fisklnvhled1strana">
    <w:name w:val="Fiskální výhled (1. strana)"/>
    <w:basedOn w:val="Zpat"/>
    <w:next w:val="eskrepubliky1strana"/>
    <w:semiHidden/>
    <w:locked/>
    <w:rsid w:val="002669D1"/>
    <w:pPr>
      <w:spacing w:before="7800" w:after="0"/>
      <w:ind w:left="1440" w:right="-289"/>
    </w:pPr>
    <w:rPr>
      <w:b/>
      <w:bCs/>
      <w:spacing w:val="10"/>
      <w:sz w:val="96"/>
    </w:rPr>
  </w:style>
  <w:style w:type="paragraph" w:customStyle="1" w:styleId="eskrepubliky1strana">
    <w:name w:val="České republiky (1. strana)"/>
    <w:basedOn w:val="Zpat"/>
    <w:semiHidden/>
    <w:locked/>
    <w:rsid w:val="002669D1"/>
    <w:pPr>
      <w:spacing w:after="0"/>
      <w:ind w:left="1440" w:right="-288"/>
    </w:pPr>
    <w:rPr>
      <w:b/>
      <w:bCs/>
      <w:sz w:val="56"/>
    </w:rPr>
  </w:style>
  <w:style w:type="paragraph" w:customStyle="1" w:styleId="Zdrojpodtabulkounebografem">
    <w:name w:val="Zdroj pod tabulkou nebo grafem"/>
    <w:basedOn w:val="Normln"/>
    <w:next w:val="Normln"/>
    <w:link w:val="ZdrojpodtabulkounebografemChar"/>
    <w:qFormat/>
    <w:rsid w:val="00597D21"/>
    <w:pPr>
      <w:spacing w:after="240"/>
      <w:contextualSpacing/>
    </w:pPr>
    <w:rPr>
      <w:i/>
      <w:sz w:val="16"/>
      <w:szCs w:val="16"/>
    </w:rPr>
  </w:style>
  <w:style w:type="paragraph" w:styleId="Textbubliny">
    <w:name w:val="Balloon Text"/>
    <w:basedOn w:val="Normln"/>
    <w:semiHidden/>
    <w:rsid w:val="005D2D8B"/>
    <w:rPr>
      <w:rFonts w:ascii="Tahoma" w:hAnsi="Tahoma" w:cs="Tahoma"/>
      <w:sz w:val="16"/>
      <w:szCs w:val="16"/>
    </w:rPr>
  </w:style>
  <w:style w:type="paragraph" w:customStyle="1" w:styleId="Titulek-jednotkypodnadpisemgrafunebotabulky">
    <w:name w:val="Titulek - jednotky pod nadpisem grafu nebo tabulky"/>
    <w:basedOn w:val="Normln"/>
    <w:rsid w:val="00342CDB"/>
    <w:pPr>
      <w:keepNext/>
      <w:keepLines/>
      <w:spacing w:after="0"/>
    </w:pPr>
    <w:rPr>
      <w:i/>
      <w:iCs/>
      <w:sz w:val="16"/>
    </w:rPr>
  </w:style>
  <w:style w:type="paragraph" w:styleId="Rozloendokumentu">
    <w:name w:val="Document Map"/>
    <w:basedOn w:val="Normln"/>
    <w:semiHidden/>
    <w:rsid w:val="006C3EB3"/>
    <w:pPr>
      <w:shd w:val="clear" w:color="auto" w:fill="000080"/>
    </w:pPr>
    <w:rPr>
      <w:rFonts w:ascii="Tahoma" w:hAnsi="Tahoma" w:cs="Tahoma"/>
    </w:rPr>
  </w:style>
  <w:style w:type="character" w:styleId="Odkaznakoment">
    <w:name w:val="annotation reference"/>
    <w:uiPriority w:val="99"/>
    <w:rsid w:val="00125F16"/>
    <w:rPr>
      <w:sz w:val="16"/>
      <w:szCs w:val="16"/>
    </w:rPr>
  </w:style>
  <w:style w:type="paragraph" w:styleId="Textkomente">
    <w:name w:val="annotation text"/>
    <w:basedOn w:val="Normln"/>
    <w:link w:val="TextkomenteChar"/>
    <w:uiPriority w:val="99"/>
    <w:rsid w:val="00125F16"/>
  </w:style>
  <w:style w:type="paragraph" w:styleId="Pedmtkomente">
    <w:name w:val="annotation subject"/>
    <w:basedOn w:val="Textkomente"/>
    <w:next w:val="Textkomente"/>
    <w:semiHidden/>
    <w:rsid w:val="00125F16"/>
    <w:rPr>
      <w:b/>
      <w:bCs/>
    </w:rPr>
  </w:style>
  <w:style w:type="paragraph" w:styleId="Zkladntext">
    <w:name w:val="Body Text"/>
    <w:basedOn w:val="Normln"/>
    <w:link w:val="ZkladntextChar"/>
    <w:locked/>
    <w:rsid w:val="00544878"/>
    <w:rPr>
      <w:lang w:eastAsia="en-US"/>
    </w:rPr>
  </w:style>
  <w:style w:type="character" w:customStyle="1" w:styleId="ZkladntextChar">
    <w:name w:val="Základní text Char"/>
    <w:link w:val="Zkladntext"/>
    <w:rsid w:val="00544878"/>
    <w:rPr>
      <w:rFonts w:ascii="Calibri" w:hAnsi="Calibri"/>
      <w:szCs w:val="24"/>
    </w:rPr>
  </w:style>
  <w:style w:type="paragraph" w:styleId="Textpoznpodarou">
    <w:name w:val="footnote text"/>
    <w:aliases w:val="Schriftart: 9 pt,Schriftart: 10 pt,Schriftart: 8 pt,Char,Text pozn. pod čarou1,Char Char Char1,Char Char1,Footnote Text Char1,Footnote Char,Footnote text,o,f,stile"/>
    <w:basedOn w:val="Normln"/>
    <w:link w:val="TextpoznpodarouChar"/>
    <w:uiPriority w:val="99"/>
    <w:qFormat/>
    <w:rsid w:val="007F3630"/>
    <w:rPr>
      <w:sz w:val="16"/>
    </w:rPr>
  </w:style>
  <w:style w:type="numbering" w:customStyle="1" w:styleId="StylSodrkami">
    <w:name w:val="Styl S odrážkami"/>
    <w:basedOn w:val="Bezseznamu"/>
    <w:rsid w:val="00866D85"/>
    <w:pPr>
      <w:numPr>
        <w:numId w:val="2"/>
      </w:numPr>
    </w:pPr>
  </w:style>
  <w:style w:type="paragraph" w:customStyle="1" w:styleId="NadpisAB">
    <w:name w:val="Nadpis AB"/>
    <w:basedOn w:val="Nadpis1"/>
    <w:rsid w:val="00D14A52"/>
    <w:pPr>
      <w:numPr>
        <w:numId w:val="3"/>
      </w:numPr>
      <w:jc w:val="left"/>
    </w:pPr>
  </w:style>
  <w:style w:type="character" w:customStyle="1" w:styleId="TitulekChar">
    <w:name w:val="Titulek Char"/>
    <w:link w:val="Titulek"/>
    <w:rsid w:val="00664E22"/>
    <w:rPr>
      <w:rFonts w:ascii="Calibri" w:hAnsi="Calibri"/>
      <w:b/>
      <w:bCs/>
      <w:lang w:val="cs-CZ" w:eastAsia="cs-CZ" w:bidi="ar-SA"/>
    </w:rPr>
  </w:style>
  <w:style w:type="paragraph" w:styleId="Revize">
    <w:name w:val="Revision"/>
    <w:hidden/>
    <w:uiPriority w:val="99"/>
    <w:semiHidden/>
    <w:rsid w:val="00A90BED"/>
  </w:style>
  <w:style w:type="character" w:customStyle="1" w:styleId="ZdrojpodtabulkounebografemChar">
    <w:name w:val="Zdroj pod tabulkou nebo grafem Char"/>
    <w:link w:val="Zdrojpodtabulkounebografem"/>
    <w:rsid w:val="00597D21"/>
    <w:rPr>
      <w:rFonts w:ascii="Calibri" w:hAnsi="Calibri"/>
      <w:i/>
      <w:sz w:val="16"/>
      <w:szCs w:val="16"/>
      <w:lang w:val="cs-CZ" w:eastAsia="cs-CZ" w:bidi="ar-SA"/>
    </w:rPr>
  </w:style>
  <w:style w:type="paragraph" w:customStyle="1" w:styleId="StylZdrojpoznmkapodtabulkougrafemnenKurzva">
    <w:name w:val="Styl Zdroj/poznámka pod tabulkou/grafem + není Kurzíva"/>
    <w:basedOn w:val="Zdrojpoznmkapodtabulkougrafem"/>
    <w:semiHidden/>
    <w:rsid w:val="002B461A"/>
    <w:rPr>
      <w:i w:val="0"/>
    </w:rPr>
  </w:style>
  <w:style w:type="paragraph" w:customStyle="1" w:styleId="Seznamtabulekaobrzk">
    <w:name w:val="Seznam tabulek a obrázků"/>
    <w:basedOn w:val="Seznamobrzk"/>
    <w:next w:val="Normln"/>
    <w:rsid w:val="001F24FC"/>
    <w:pPr>
      <w:spacing w:line="20" w:lineRule="atLeast"/>
    </w:pPr>
  </w:style>
  <w:style w:type="paragraph" w:customStyle="1" w:styleId="Tunodstavec">
    <w:name w:val="Tučný odstavec"/>
    <w:basedOn w:val="Normln"/>
    <w:link w:val="TunodstavecChar1"/>
    <w:rsid w:val="002C622D"/>
    <w:pPr>
      <w:spacing w:before="240" w:line="264" w:lineRule="auto"/>
    </w:pPr>
    <w:rPr>
      <w:rFonts w:ascii="Times New Roman" w:hAnsi="Times New Roman"/>
      <w:b/>
      <w:bCs/>
      <w:sz w:val="22"/>
    </w:rPr>
  </w:style>
  <w:style w:type="paragraph" w:customStyle="1" w:styleId="vod">
    <w:name w:val="Úvod"/>
    <w:basedOn w:val="Nadpis1"/>
    <w:next w:val="Normln"/>
    <w:semiHidden/>
    <w:rsid w:val="001F24FC"/>
    <w:pPr>
      <w:numPr>
        <w:numId w:val="0"/>
      </w:numPr>
    </w:pPr>
    <w:rPr>
      <w:rFonts w:cs="Times New Roman"/>
      <w:szCs w:val="20"/>
    </w:rPr>
  </w:style>
  <w:style w:type="character" w:customStyle="1" w:styleId="TunodstavecChar1">
    <w:name w:val="Tučný odstavec Char1"/>
    <w:link w:val="Tunodstavec"/>
    <w:rsid w:val="00B60DBD"/>
    <w:rPr>
      <w:b/>
      <w:bCs/>
      <w:sz w:val="22"/>
    </w:rPr>
  </w:style>
  <w:style w:type="paragraph" w:customStyle="1" w:styleId="Box-text">
    <w:name w:val="Box - text"/>
    <w:basedOn w:val="Normln"/>
    <w:uiPriority w:val="1"/>
    <w:qFormat/>
    <w:rsid w:val="006813A5"/>
    <w:rPr>
      <w:sz w:val="18"/>
    </w:rPr>
  </w:style>
  <w:style w:type="paragraph" w:customStyle="1" w:styleId="Stednmka21">
    <w:name w:val="Střední mřížka 21"/>
    <w:uiPriority w:val="1"/>
    <w:locked/>
    <w:rsid w:val="00EF6278"/>
    <w:pPr>
      <w:spacing w:after="120"/>
      <w:jc w:val="both"/>
    </w:pPr>
    <w:rPr>
      <w:rFonts w:eastAsia="Calibri"/>
      <w:sz w:val="22"/>
      <w:szCs w:val="22"/>
      <w:lang w:eastAsia="en-US"/>
    </w:rPr>
  </w:style>
  <w:style w:type="paragraph" w:customStyle="1" w:styleId="Box-nadpis">
    <w:name w:val="Box - nadpis"/>
    <w:basedOn w:val="SRNadpismal"/>
    <w:next w:val="Box-text"/>
    <w:uiPriority w:val="1"/>
    <w:qFormat/>
    <w:rsid w:val="00556DD6"/>
    <w:pPr>
      <w:spacing w:before="120"/>
    </w:pPr>
    <w:rPr>
      <w:bCs/>
      <w:sz w:val="20"/>
      <w:szCs w:val="20"/>
    </w:rPr>
  </w:style>
  <w:style w:type="character" w:customStyle="1" w:styleId="TextpoznpodarouChar">
    <w:name w:val="Text pozn. pod čarou Char"/>
    <w:aliases w:val="Schriftart: 9 pt Char1,Schriftart: 10 pt Char1,Schriftart: 8 pt Char1,Char Char2,Text pozn. pod čarou1 Char1,Char Char Char1 Char1,Char Char1 Char1,Footnote Text Char1 Char1,Footnote Char Char,Footnote text Char,o Char,f Char"/>
    <w:link w:val="Textpoznpodarou"/>
    <w:uiPriority w:val="99"/>
    <w:rsid w:val="007F3630"/>
    <w:rPr>
      <w:sz w:val="16"/>
    </w:rPr>
  </w:style>
  <w:style w:type="character" w:customStyle="1" w:styleId="ZhlavChar">
    <w:name w:val="Záhlaví Char"/>
    <w:link w:val="Zhlav"/>
    <w:rsid w:val="000D7324"/>
  </w:style>
  <w:style w:type="character" w:customStyle="1" w:styleId="ZpatChar">
    <w:name w:val="Zápatí Char"/>
    <w:link w:val="Zpat"/>
    <w:rsid w:val="00AB21B0"/>
  </w:style>
  <w:style w:type="paragraph" w:styleId="Odstavecseseznamem">
    <w:name w:val="List Paragraph"/>
    <w:basedOn w:val="Normln"/>
    <w:uiPriority w:val="34"/>
    <w:qFormat/>
    <w:locked/>
    <w:rsid w:val="00965B33"/>
    <w:pPr>
      <w:ind w:left="720"/>
      <w:contextualSpacing/>
    </w:pPr>
    <w:rPr>
      <w:rFonts w:eastAsia="Calibri"/>
    </w:rPr>
  </w:style>
  <w:style w:type="character" w:styleId="Siln">
    <w:name w:val="Strong"/>
    <w:qFormat/>
    <w:locked/>
    <w:rsid w:val="001F3C10"/>
    <w:rPr>
      <w:b/>
      <w:bCs/>
    </w:rPr>
  </w:style>
  <w:style w:type="character" w:customStyle="1" w:styleId="TextpoznpodarouChar1">
    <w:name w:val="Text pozn. pod čarou Char1"/>
    <w:aliases w:val="Schriftart: 9 pt Char,Schriftart: 10 pt Char,Schriftart: 8 pt Char,Text pozn. pod čarou Char Char, Char Char,Char Char,Text pozn. pod čarou1 Char,Char Char Char1 Char,Char Char1 Char,Footnote Text Char1 Char"/>
    <w:semiHidden/>
    <w:rsid w:val="00EC0EAF"/>
    <w:rPr>
      <w:lang w:val="cs-CZ" w:eastAsia="cs-CZ" w:bidi="ar-SA"/>
    </w:rPr>
  </w:style>
  <w:style w:type="paragraph" w:customStyle="1" w:styleId="Poznmkaazdroj">
    <w:name w:val="Poznámka a zdroj"/>
    <w:basedOn w:val="Normln"/>
    <w:next w:val="Normln"/>
    <w:uiPriority w:val="7"/>
    <w:qFormat/>
    <w:rsid w:val="00B57565"/>
    <w:pPr>
      <w:spacing w:after="240"/>
      <w:contextualSpacing/>
    </w:pPr>
    <w:rPr>
      <w:rFonts w:eastAsia="Calibri"/>
      <w:i/>
      <w:sz w:val="16"/>
      <w:lang w:eastAsia="en-US"/>
    </w:rPr>
  </w:style>
  <w:style w:type="character" w:customStyle="1" w:styleId="TextkomenteChar">
    <w:name w:val="Text komentáře Char"/>
    <w:link w:val="Textkomente"/>
    <w:uiPriority w:val="99"/>
    <w:rsid w:val="00AB4DFD"/>
  </w:style>
  <w:style w:type="paragraph" w:customStyle="1" w:styleId="Barevnstnovnzvraznn11">
    <w:name w:val="Barevné stínování – zvýraznění 11"/>
    <w:hidden/>
    <w:uiPriority w:val="99"/>
    <w:semiHidden/>
    <w:rsid w:val="00AB4DFD"/>
  </w:style>
  <w:style w:type="paragraph" w:customStyle="1" w:styleId="Jednotka">
    <w:name w:val="Jednotka"/>
    <w:basedOn w:val="Normln"/>
    <w:next w:val="Bezmezer"/>
    <w:uiPriority w:val="7"/>
    <w:qFormat/>
    <w:rsid w:val="00752029"/>
    <w:pPr>
      <w:keepNext/>
      <w:keepLines/>
      <w:spacing w:after="0"/>
      <w:jc w:val="left"/>
    </w:pPr>
    <w:rPr>
      <w:rFonts w:eastAsia="Calibri"/>
      <w:i/>
      <w:sz w:val="16"/>
      <w:szCs w:val="16"/>
      <w:lang w:eastAsia="en-US"/>
    </w:rPr>
  </w:style>
  <w:style w:type="paragraph" w:styleId="Bezmezer">
    <w:name w:val="No Spacing"/>
    <w:uiPriority w:val="1"/>
    <w:qFormat/>
    <w:locked/>
    <w:rsid w:val="00752029"/>
    <w:pPr>
      <w:jc w:val="both"/>
    </w:pPr>
  </w:style>
  <w:style w:type="paragraph" w:customStyle="1" w:styleId="Zdrojelit">
    <w:name w:val="Zdroje lit."/>
    <w:basedOn w:val="Normln"/>
    <w:qFormat/>
    <w:rsid w:val="006C10CA"/>
    <w:pPr>
      <w:ind w:left="540" w:hanging="540"/>
    </w:pPr>
  </w:style>
  <w:style w:type="paragraph" w:styleId="Zkladntextodsazen">
    <w:name w:val="Body Text Indent"/>
    <w:basedOn w:val="Normln"/>
    <w:link w:val="ZkladntextodsazenChar"/>
    <w:locked/>
    <w:rsid w:val="002B0497"/>
    <w:pPr>
      <w:ind w:left="283"/>
    </w:pPr>
  </w:style>
  <w:style w:type="character" w:customStyle="1" w:styleId="ZkladntextodsazenChar">
    <w:name w:val="Základní text odsazený Char"/>
    <w:basedOn w:val="Standardnpsmoodstavce"/>
    <w:link w:val="Zkladntextodsazen"/>
    <w:rsid w:val="002B0497"/>
  </w:style>
  <w:style w:type="paragraph" w:customStyle="1" w:styleId="Zkladntext21">
    <w:name w:val="Základní text 21"/>
    <w:basedOn w:val="Normln"/>
    <w:rsid w:val="004208F7"/>
    <w:pPr>
      <w:overflowPunct w:val="0"/>
      <w:autoSpaceDE w:val="0"/>
      <w:autoSpaceDN w:val="0"/>
      <w:adjustRightInd w:val="0"/>
      <w:spacing w:after="0" w:line="360" w:lineRule="auto"/>
      <w:ind w:firstLine="709"/>
      <w:textAlignment w:val="baseline"/>
    </w:pPr>
    <w:rPr>
      <w:rFonts w:ascii="Times New Roman" w:hAnsi="Times New Roman"/>
      <w:sz w:val="24"/>
    </w:rPr>
  </w:style>
  <w:style w:type="paragraph" w:styleId="Nadpisobsahu">
    <w:name w:val="TOC Heading"/>
    <w:basedOn w:val="Nadpis1"/>
    <w:next w:val="Normln"/>
    <w:uiPriority w:val="39"/>
    <w:semiHidden/>
    <w:unhideWhenUsed/>
    <w:qFormat/>
    <w:rsid w:val="008D01C8"/>
    <w:pPr>
      <w:keepLines/>
      <w:pageBreakBefore w:val="0"/>
      <w:numPr>
        <w:numId w:val="0"/>
      </w:numPr>
      <w:spacing w:before="480" w:after="0" w:line="276" w:lineRule="auto"/>
      <w:jc w:val="left"/>
      <w:outlineLvl w:val="9"/>
    </w:pPr>
    <w:rPr>
      <w:rFonts w:ascii="Cambria" w:hAnsi="Cambria" w:cs="Times New Roman"/>
      <w:color w:val="365F91"/>
      <w:kern w:val="0"/>
      <w:sz w:val="28"/>
      <w:szCs w:val="28"/>
    </w:rPr>
  </w:style>
  <w:style w:type="paragraph" w:styleId="Obsah3">
    <w:name w:val="toc 3"/>
    <w:basedOn w:val="Normln"/>
    <w:next w:val="Normln"/>
    <w:autoRedefine/>
    <w:uiPriority w:val="39"/>
    <w:rsid w:val="008E639C"/>
    <w:pPr>
      <w:ind w:left="567"/>
    </w:pPr>
  </w:style>
  <w:style w:type="paragraph" w:customStyle="1" w:styleId="StylTitulekTun">
    <w:name w:val="Styl Titulek + Tučné"/>
    <w:basedOn w:val="Titulek"/>
    <w:link w:val="StylTitulekTunChar"/>
    <w:rsid w:val="00150579"/>
    <w:pPr>
      <w:keepLines w:val="0"/>
      <w:jc w:val="left"/>
    </w:pPr>
  </w:style>
  <w:style w:type="character" w:customStyle="1" w:styleId="StylTitulekTunChar">
    <w:name w:val="Styl Titulek + Tučné Char"/>
    <w:link w:val="StylTitulekTun"/>
    <w:rsid w:val="00150579"/>
    <w:rPr>
      <w:b/>
      <w:bCs/>
    </w:rPr>
  </w:style>
  <w:style w:type="paragraph" w:customStyle="1" w:styleId="Styl1mmmmm">
    <w:name w:val="Styl1mmmmm"/>
    <w:basedOn w:val="Normln"/>
    <w:rsid w:val="00150579"/>
    <w:pPr>
      <w:numPr>
        <w:numId w:val="4"/>
      </w:numPr>
      <w:spacing w:after="0" w:line="360" w:lineRule="auto"/>
    </w:pPr>
    <w:rPr>
      <w:rFonts w:ascii="Times New Roman" w:hAnsi="Times New Roman"/>
      <w:sz w:val="24"/>
      <w:szCs w:val="24"/>
    </w:rPr>
  </w:style>
  <w:style w:type="paragraph" w:customStyle="1" w:styleId="Odstavecseseznamem1">
    <w:name w:val="Odstavec se seznamem1"/>
    <w:basedOn w:val="Normln"/>
    <w:rsid w:val="004F55E3"/>
    <w:pPr>
      <w:spacing w:after="0"/>
      <w:ind w:left="720"/>
      <w:contextualSpacing/>
      <w:jc w:val="left"/>
    </w:pPr>
    <w:rPr>
      <w:rFonts w:ascii="Times New Roman" w:hAnsi="Times New Roman"/>
      <w:sz w:val="24"/>
      <w:szCs w:val="24"/>
    </w:rPr>
  </w:style>
  <w:style w:type="paragraph" w:customStyle="1" w:styleId="Odstavecseseznamem10">
    <w:name w:val="Odstavec se seznamem1"/>
    <w:aliases w:val="Odstavec cíl se seznamem"/>
    <w:basedOn w:val="Normln"/>
    <w:uiPriority w:val="34"/>
    <w:qFormat/>
    <w:rsid w:val="00062CD1"/>
    <w:pPr>
      <w:spacing w:after="0"/>
      <w:ind w:left="720"/>
      <w:contextualSpacing/>
      <w:jc w:val="left"/>
    </w:pPr>
    <w:rPr>
      <w:rFonts w:ascii="Times New Roman" w:hAnsi="Times New Roman"/>
      <w:sz w:val="24"/>
      <w:szCs w:val="24"/>
    </w:rPr>
  </w:style>
  <w:style w:type="paragraph" w:customStyle="1" w:styleId="Popisky">
    <w:name w:val="Popisky"/>
    <w:rsid w:val="00801527"/>
    <w:rPr>
      <w:rFonts w:ascii="Arial" w:hAnsi="Arial"/>
    </w:rPr>
  </w:style>
  <w:style w:type="paragraph" w:customStyle="1" w:styleId="Zkladntext210">
    <w:name w:val="Základní text 21"/>
    <w:basedOn w:val="Normln"/>
    <w:rsid w:val="00EA7802"/>
    <w:pPr>
      <w:overflowPunct w:val="0"/>
      <w:autoSpaceDE w:val="0"/>
      <w:autoSpaceDN w:val="0"/>
      <w:adjustRightInd w:val="0"/>
      <w:spacing w:after="0"/>
      <w:jc w:val="left"/>
      <w:textAlignment w:val="baseline"/>
    </w:pPr>
    <w:rPr>
      <w:rFonts w:ascii="Times New Roman" w:hAnsi="Times New Roman"/>
    </w:rPr>
  </w:style>
  <w:style w:type="paragraph" w:styleId="Normlnweb">
    <w:name w:val="Normal (Web)"/>
    <w:basedOn w:val="Normln"/>
    <w:uiPriority w:val="99"/>
    <w:rsid w:val="00157471"/>
    <w:pPr>
      <w:spacing w:before="100" w:beforeAutospacing="1" w:after="100" w:afterAutospacing="1"/>
      <w:jc w:val="left"/>
    </w:pPr>
    <w:rPr>
      <w:rFonts w:ascii="Times New Roman" w:hAnsi="Times New Roman"/>
      <w:sz w:val="24"/>
      <w:szCs w:val="24"/>
    </w:rPr>
  </w:style>
  <w:style w:type="paragraph" w:customStyle="1" w:styleId="SRNadpisseitu">
    <w:name w:val="SR_Nadpis sešitu"/>
    <w:basedOn w:val="Normln"/>
    <w:qFormat/>
    <w:rsid w:val="00FB23C2"/>
    <w:pPr>
      <w:spacing w:before="3480" w:after="0"/>
      <w:jc w:val="center"/>
    </w:pPr>
    <w:rPr>
      <w:b/>
      <w:spacing w:val="10"/>
      <w:sz w:val="36"/>
      <w:szCs w:val="36"/>
    </w:rPr>
  </w:style>
  <w:style w:type="paragraph" w:customStyle="1" w:styleId="SRNadpis1">
    <w:name w:val="SR_Nadpis 1"/>
    <w:basedOn w:val="Nadpis1"/>
    <w:qFormat/>
    <w:rsid w:val="007866E6"/>
    <w:pPr>
      <w:tabs>
        <w:tab w:val="clear" w:pos="567"/>
        <w:tab w:val="num" w:pos="709"/>
      </w:tabs>
      <w:spacing w:before="240" w:after="360"/>
      <w:ind w:left="709" w:hanging="709"/>
      <w:jc w:val="left"/>
    </w:pPr>
  </w:style>
  <w:style w:type="paragraph" w:customStyle="1" w:styleId="SRNadpis2">
    <w:name w:val="SR_Nadpis 2"/>
    <w:basedOn w:val="Nadpis2"/>
    <w:qFormat/>
    <w:rsid w:val="00D06E57"/>
    <w:pPr>
      <w:tabs>
        <w:tab w:val="clear" w:pos="1135"/>
      </w:tabs>
      <w:spacing w:before="360" w:after="240"/>
      <w:ind w:left="709" w:hanging="709"/>
    </w:pPr>
  </w:style>
  <w:style w:type="paragraph" w:customStyle="1" w:styleId="SRNadpis3">
    <w:name w:val="SR_Nadpis 3"/>
    <w:basedOn w:val="Nadpis3"/>
    <w:qFormat/>
    <w:rsid w:val="00671AAF"/>
    <w:pPr>
      <w:tabs>
        <w:tab w:val="clear" w:pos="2138"/>
      </w:tabs>
      <w:spacing w:before="360" w:after="240"/>
      <w:ind w:left="709" w:hanging="709"/>
      <w:jc w:val="both"/>
    </w:pPr>
  </w:style>
  <w:style w:type="paragraph" w:customStyle="1" w:styleId="SRTitulek1">
    <w:name w:val="SR_Titulek 1"/>
    <w:basedOn w:val="Titulek"/>
    <w:qFormat/>
    <w:rsid w:val="000E432A"/>
    <w:pPr>
      <w:spacing w:after="120"/>
    </w:pPr>
  </w:style>
  <w:style w:type="paragraph" w:customStyle="1" w:styleId="SROdrka1">
    <w:name w:val="SR_Odrážka 1"/>
    <w:basedOn w:val="Normln"/>
    <w:qFormat/>
    <w:rsid w:val="00C07F86"/>
    <w:pPr>
      <w:numPr>
        <w:numId w:val="5"/>
      </w:numPr>
      <w:tabs>
        <w:tab w:val="clear" w:pos="170"/>
      </w:tabs>
      <w:suppressAutoHyphens/>
      <w:spacing w:before="120"/>
      <w:ind w:left="284" w:hanging="284"/>
    </w:pPr>
  </w:style>
  <w:style w:type="paragraph" w:customStyle="1" w:styleId="SRTextnomal">
    <w:name w:val="SR_Text nomal"/>
    <w:basedOn w:val="Normln"/>
    <w:qFormat/>
    <w:rsid w:val="00C07F86"/>
    <w:pPr>
      <w:suppressAutoHyphens/>
      <w:spacing w:after="60"/>
    </w:pPr>
  </w:style>
  <w:style w:type="paragraph" w:customStyle="1" w:styleId="Default">
    <w:name w:val="Default"/>
    <w:rsid w:val="00CB41BB"/>
    <w:pPr>
      <w:autoSpaceDE w:val="0"/>
      <w:autoSpaceDN w:val="0"/>
      <w:adjustRightInd w:val="0"/>
    </w:pPr>
    <w:rPr>
      <w:rFonts w:ascii="Arial" w:eastAsia="Calibri" w:hAnsi="Arial" w:cs="Arial"/>
      <w:color w:val="000000"/>
      <w:sz w:val="24"/>
      <w:szCs w:val="24"/>
      <w:lang w:eastAsia="en-US"/>
    </w:rPr>
  </w:style>
  <w:style w:type="paragraph" w:customStyle="1" w:styleId="SROdrka2">
    <w:name w:val="SR_Odrážka 2"/>
    <w:qFormat/>
    <w:rsid w:val="000705C1"/>
    <w:pPr>
      <w:numPr>
        <w:ilvl w:val="1"/>
        <w:numId w:val="5"/>
      </w:numPr>
      <w:tabs>
        <w:tab w:val="clear" w:pos="1080"/>
        <w:tab w:val="num" w:pos="567"/>
      </w:tabs>
      <w:ind w:left="567" w:hanging="283"/>
      <w:jc w:val="both"/>
    </w:pPr>
  </w:style>
  <w:style w:type="paragraph" w:customStyle="1" w:styleId="SROdrka1tun">
    <w:name w:val="SR_Odrážka 1 tučně"/>
    <w:basedOn w:val="SROdrka1"/>
    <w:qFormat/>
    <w:rsid w:val="00B54024"/>
    <w:pPr>
      <w:tabs>
        <w:tab w:val="num" w:pos="170"/>
      </w:tabs>
      <w:ind w:left="1078" w:hanging="1078"/>
    </w:pPr>
    <w:rPr>
      <w:b/>
    </w:rPr>
  </w:style>
  <w:style w:type="character" w:customStyle="1" w:styleId="Nadpis2Char">
    <w:name w:val="Nadpis 2 Char"/>
    <w:link w:val="Nadpis2"/>
    <w:rsid w:val="0097621B"/>
    <w:rPr>
      <w:rFonts w:cs="Arial"/>
      <w:b/>
      <w:bCs/>
      <w:iCs/>
      <w:sz w:val="28"/>
      <w:szCs w:val="28"/>
    </w:rPr>
  </w:style>
  <w:style w:type="paragraph" w:customStyle="1" w:styleId="ZKPoznpodarou">
    <w:name w:val="ZK_Pozn. pod čarou"/>
    <w:basedOn w:val="Textpoznpodarou"/>
    <w:link w:val="ZKPoznpodarouChar"/>
    <w:rsid w:val="00DA0377"/>
    <w:pPr>
      <w:spacing w:after="0"/>
    </w:pPr>
    <w:rPr>
      <w:szCs w:val="16"/>
    </w:rPr>
  </w:style>
  <w:style w:type="character" w:customStyle="1" w:styleId="ZKPoznpodarouChar">
    <w:name w:val="ZK_Pozn. pod čarou Char"/>
    <w:link w:val="ZKPoznpodarou"/>
    <w:rsid w:val="00DA0377"/>
    <w:rPr>
      <w:sz w:val="16"/>
      <w:szCs w:val="16"/>
    </w:rPr>
  </w:style>
  <w:style w:type="paragraph" w:customStyle="1" w:styleId="SRtextodstavce">
    <w:name w:val="SR_text odstavce"/>
    <w:basedOn w:val="Normln"/>
    <w:qFormat/>
    <w:rsid w:val="007F3192"/>
    <w:pPr>
      <w:spacing w:after="60"/>
    </w:pPr>
    <w:rPr>
      <w:rFonts w:cs="Arial"/>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ln"/>
    <w:link w:val="Znakapoznpodarou"/>
    <w:uiPriority w:val="99"/>
    <w:rsid w:val="00F8440C"/>
    <w:pPr>
      <w:spacing w:after="160" w:line="240" w:lineRule="exact"/>
    </w:pPr>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1432">
      <w:bodyDiv w:val="1"/>
      <w:marLeft w:val="0"/>
      <w:marRight w:val="0"/>
      <w:marTop w:val="0"/>
      <w:marBottom w:val="0"/>
      <w:divBdr>
        <w:top w:val="none" w:sz="0" w:space="0" w:color="auto"/>
        <w:left w:val="none" w:sz="0" w:space="0" w:color="auto"/>
        <w:bottom w:val="none" w:sz="0" w:space="0" w:color="auto"/>
        <w:right w:val="none" w:sz="0" w:space="0" w:color="auto"/>
      </w:divBdr>
    </w:div>
    <w:div w:id="42559515">
      <w:bodyDiv w:val="1"/>
      <w:marLeft w:val="0"/>
      <w:marRight w:val="0"/>
      <w:marTop w:val="0"/>
      <w:marBottom w:val="0"/>
      <w:divBdr>
        <w:top w:val="none" w:sz="0" w:space="0" w:color="auto"/>
        <w:left w:val="none" w:sz="0" w:space="0" w:color="auto"/>
        <w:bottom w:val="none" w:sz="0" w:space="0" w:color="auto"/>
        <w:right w:val="none" w:sz="0" w:space="0" w:color="auto"/>
      </w:divBdr>
    </w:div>
    <w:div w:id="42565348">
      <w:bodyDiv w:val="1"/>
      <w:marLeft w:val="0"/>
      <w:marRight w:val="0"/>
      <w:marTop w:val="0"/>
      <w:marBottom w:val="0"/>
      <w:divBdr>
        <w:top w:val="none" w:sz="0" w:space="0" w:color="auto"/>
        <w:left w:val="none" w:sz="0" w:space="0" w:color="auto"/>
        <w:bottom w:val="none" w:sz="0" w:space="0" w:color="auto"/>
        <w:right w:val="none" w:sz="0" w:space="0" w:color="auto"/>
      </w:divBdr>
    </w:div>
    <w:div w:id="61223538">
      <w:bodyDiv w:val="1"/>
      <w:marLeft w:val="0"/>
      <w:marRight w:val="0"/>
      <w:marTop w:val="0"/>
      <w:marBottom w:val="0"/>
      <w:divBdr>
        <w:top w:val="none" w:sz="0" w:space="0" w:color="auto"/>
        <w:left w:val="none" w:sz="0" w:space="0" w:color="auto"/>
        <w:bottom w:val="none" w:sz="0" w:space="0" w:color="auto"/>
        <w:right w:val="none" w:sz="0" w:space="0" w:color="auto"/>
      </w:divBdr>
    </w:div>
    <w:div w:id="63724050">
      <w:bodyDiv w:val="1"/>
      <w:marLeft w:val="0"/>
      <w:marRight w:val="0"/>
      <w:marTop w:val="0"/>
      <w:marBottom w:val="0"/>
      <w:divBdr>
        <w:top w:val="none" w:sz="0" w:space="0" w:color="auto"/>
        <w:left w:val="none" w:sz="0" w:space="0" w:color="auto"/>
        <w:bottom w:val="none" w:sz="0" w:space="0" w:color="auto"/>
        <w:right w:val="none" w:sz="0" w:space="0" w:color="auto"/>
      </w:divBdr>
    </w:div>
    <w:div w:id="66997437">
      <w:bodyDiv w:val="1"/>
      <w:marLeft w:val="0"/>
      <w:marRight w:val="0"/>
      <w:marTop w:val="0"/>
      <w:marBottom w:val="0"/>
      <w:divBdr>
        <w:top w:val="none" w:sz="0" w:space="0" w:color="auto"/>
        <w:left w:val="none" w:sz="0" w:space="0" w:color="auto"/>
        <w:bottom w:val="none" w:sz="0" w:space="0" w:color="auto"/>
        <w:right w:val="none" w:sz="0" w:space="0" w:color="auto"/>
      </w:divBdr>
    </w:div>
    <w:div w:id="96407638">
      <w:bodyDiv w:val="1"/>
      <w:marLeft w:val="0"/>
      <w:marRight w:val="0"/>
      <w:marTop w:val="0"/>
      <w:marBottom w:val="0"/>
      <w:divBdr>
        <w:top w:val="none" w:sz="0" w:space="0" w:color="auto"/>
        <w:left w:val="none" w:sz="0" w:space="0" w:color="auto"/>
        <w:bottom w:val="none" w:sz="0" w:space="0" w:color="auto"/>
        <w:right w:val="none" w:sz="0" w:space="0" w:color="auto"/>
      </w:divBdr>
    </w:div>
    <w:div w:id="99574590">
      <w:bodyDiv w:val="1"/>
      <w:marLeft w:val="0"/>
      <w:marRight w:val="0"/>
      <w:marTop w:val="0"/>
      <w:marBottom w:val="0"/>
      <w:divBdr>
        <w:top w:val="none" w:sz="0" w:space="0" w:color="auto"/>
        <w:left w:val="none" w:sz="0" w:space="0" w:color="auto"/>
        <w:bottom w:val="none" w:sz="0" w:space="0" w:color="auto"/>
        <w:right w:val="none" w:sz="0" w:space="0" w:color="auto"/>
      </w:divBdr>
    </w:div>
    <w:div w:id="116879764">
      <w:bodyDiv w:val="1"/>
      <w:marLeft w:val="0"/>
      <w:marRight w:val="0"/>
      <w:marTop w:val="0"/>
      <w:marBottom w:val="0"/>
      <w:divBdr>
        <w:top w:val="none" w:sz="0" w:space="0" w:color="auto"/>
        <w:left w:val="none" w:sz="0" w:space="0" w:color="auto"/>
        <w:bottom w:val="none" w:sz="0" w:space="0" w:color="auto"/>
        <w:right w:val="none" w:sz="0" w:space="0" w:color="auto"/>
      </w:divBdr>
    </w:div>
    <w:div w:id="120852682">
      <w:bodyDiv w:val="1"/>
      <w:marLeft w:val="0"/>
      <w:marRight w:val="0"/>
      <w:marTop w:val="0"/>
      <w:marBottom w:val="0"/>
      <w:divBdr>
        <w:top w:val="none" w:sz="0" w:space="0" w:color="auto"/>
        <w:left w:val="none" w:sz="0" w:space="0" w:color="auto"/>
        <w:bottom w:val="none" w:sz="0" w:space="0" w:color="auto"/>
        <w:right w:val="none" w:sz="0" w:space="0" w:color="auto"/>
      </w:divBdr>
    </w:div>
    <w:div w:id="122618123">
      <w:bodyDiv w:val="1"/>
      <w:marLeft w:val="0"/>
      <w:marRight w:val="0"/>
      <w:marTop w:val="0"/>
      <w:marBottom w:val="0"/>
      <w:divBdr>
        <w:top w:val="none" w:sz="0" w:space="0" w:color="auto"/>
        <w:left w:val="none" w:sz="0" w:space="0" w:color="auto"/>
        <w:bottom w:val="none" w:sz="0" w:space="0" w:color="auto"/>
        <w:right w:val="none" w:sz="0" w:space="0" w:color="auto"/>
      </w:divBdr>
    </w:div>
    <w:div w:id="129369319">
      <w:bodyDiv w:val="1"/>
      <w:marLeft w:val="0"/>
      <w:marRight w:val="0"/>
      <w:marTop w:val="0"/>
      <w:marBottom w:val="0"/>
      <w:divBdr>
        <w:top w:val="none" w:sz="0" w:space="0" w:color="auto"/>
        <w:left w:val="none" w:sz="0" w:space="0" w:color="auto"/>
        <w:bottom w:val="none" w:sz="0" w:space="0" w:color="auto"/>
        <w:right w:val="none" w:sz="0" w:space="0" w:color="auto"/>
      </w:divBdr>
    </w:div>
    <w:div w:id="139663159">
      <w:bodyDiv w:val="1"/>
      <w:marLeft w:val="0"/>
      <w:marRight w:val="0"/>
      <w:marTop w:val="0"/>
      <w:marBottom w:val="0"/>
      <w:divBdr>
        <w:top w:val="none" w:sz="0" w:space="0" w:color="auto"/>
        <w:left w:val="none" w:sz="0" w:space="0" w:color="auto"/>
        <w:bottom w:val="none" w:sz="0" w:space="0" w:color="auto"/>
        <w:right w:val="none" w:sz="0" w:space="0" w:color="auto"/>
      </w:divBdr>
    </w:div>
    <w:div w:id="148249760">
      <w:bodyDiv w:val="1"/>
      <w:marLeft w:val="0"/>
      <w:marRight w:val="0"/>
      <w:marTop w:val="0"/>
      <w:marBottom w:val="0"/>
      <w:divBdr>
        <w:top w:val="none" w:sz="0" w:space="0" w:color="auto"/>
        <w:left w:val="none" w:sz="0" w:space="0" w:color="auto"/>
        <w:bottom w:val="none" w:sz="0" w:space="0" w:color="auto"/>
        <w:right w:val="none" w:sz="0" w:space="0" w:color="auto"/>
      </w:divBdr>
    </w:div>
    <w:div w:id="186604006">
      <w:bodyDiv w:val="1"/>
      <w:marLeft w:val="0"/>
      <w:marRight w:val="0"/>
      <w:marTop w:val="0"/>
      <w:marBottom w:val="0"/>
      <w:divBdr>
        <w:top w:val="none" w:sz="0" w:space="0" w:color="auto"/>
        <w:left w:val="none" w:sz="0" w:space="0" w:color="auto"/>
        <w:bottom w:val="none" w:sz="0" w:space="0" w:color="auto"/>
        <w:right w:val="none" w:sz="0" w:space="0" w:color="auto"/>
      </w:divBdr>
    </w:div>
    <w:div w:id="232587717">
      <w:bodyDiv w:val="1"/>
      <w:marLeft w:val="0"/>
      <w:marRight w:val="0"/>
      <w:marTop w:val="0"/>
      <w:marBottom w:val="0"/>
      <w:divBdr>
        <w:top w:val="none" w:sz="0" w:space="0" w:color="auto"/>
        <w:left w:val="none" w:sz="0" w:space="0" w:color="auto"/>
        <w:bottom w:val="none" w:sz="0" w:space="0" w:color="auto"/>
        <w:right w:val="none" w:sz="0" w:space="0" w:color="auto"/>
      </w:divBdr>
    </w:div>
    <w:div w:id="239754628">
      <w:bodyDiv w:val="1"/>
      <w:marLeft w:val="0"/>
      <w:marRight w:val="0"/>
      <w:marTop w:val="0"/>
      <w:marBottom w:val="0"/>
      <w:divBdr>
        <w:top w:val="none" w:sz="0" w:space="0" w:color="auto"/>
        <w:left w:val="none" w:sz="0" w:space="0" w:color="auto"/>
        <w:bottom w:val="none" w:sz="0" w:space="0" w:color="auto"/>
        <w:right w:val="none" w:sz="0" w:space="0" w:color="auto"/>
      </w:divBdr>
    </w:div>
    <w:div w:id="250745427">
      <w:bodyDiv w:val="1"/>
      <w:marLeft w:val="0"/>
      <w:marRight w:val="0"/>
      <w:marTop w:val="0"/>
      <w:marBottom w:val="0"/>
      <w:divBdr>
        <w:top w:val="none" w:sz="0" w:space="0" w:color="auto"/>
        <w:left w:val="none" w:sz="0" w:space="0" w:color="auto"/>
        <w:bottom w:val="none" w:sz="0" w:space="0" w:color="auto"/>
        <w:right w:val="none" w:sz="0" w:space="0" w:color="auto"/>
      </w:divBdr>
    </w:div>
    <w:div w:id="253898455">
      <w:bodyDiv w:val="1"/>
      <w:marLeft w:val="0"/>
      <w:marRight w:val="0"/>
      <w:marTop w:val="0"/>
      <w:marBottom w:val="0"/>
      <w:divBdr>
        <w:top w:val="none" w:sz="0" w:space="0" w:color="auto"/>
        <w:left w:val="none" w:sz="0" w:space="0" w:color="auto"/>
        <w:bottom w:val="none" w:sz="0" w:space="0" w:color="auto"/>
        <w:right w:val="none" w:sz="0" w:space="0" w:color="auto"/>
      </w:divBdr>
    </w:div>
    <w:div w:id="257106681">
      <w:bodyDiv w:val="1"/>
      <w:marLeft w:val="0"/>
      <w:marRight w:val="0"/>
      <w:marTop w:val="0"/>
      <w:marBottom w:val="0"/>
      <w:divBdr>
        <w:top w:val="none" w:sz="0" w:space="0" w:color="auto"/>
        <w:left w:val="none" w:sz="0" w:space="0" w:color="auto"/>
        <w:bottom w:val="none" w:sz="0" w:space="0" w:color="auto"/>
        <w:right w:val="none" w:sz="0" w:space="0" w:color="auto"/>
      </w:divBdr>
    </w:div>
    <w:div w:id="280184735">
      <w:bodyDiv w:val="1"/>
      <w:marLeft w:val="0"/>
      <w:marRight w:val="0"/>
      <w:marTop w:val="0"/>
      <w:marBottom w:val="0"/>
      <w:divBdr>
        <w:top w:val="none" w:sz="0" w:space="0" w:color="auto"/>
        <w:left w:val="none" w:sz="0" w:space="0" w:color="auto"/>
        <w:bottom w:val="none" w:sz="0" w:space="0" w:color="auto"/>
        <w:right w:val="none" w:sz="0" w:space="0" w:color="auto"/>
      </w:divBdr>
    </w:div>
    <w:div w:id="299656054">
      <w:bodyDiv w:val="1"/>
      <w:marLeft w:val="0"/>
      <w:marRight w:val="0"/>
      <w:marTop w:val="0"/>
      <w:marBottom w:val="0"/>
      <w:divBdr>
        <w:top w:val="none" w:sz="0" w:space="0" w:color="auto"/>
        <w:left w:val="none" w:sz="0" w:space="0" w:color="auto"/>
        <w:bottom w:val="none" w:sz="0" w:space="0" w:color="auto"/>
        <w:right w:val="none" w:sz="0" w:space="0" w:color="auto"/>
      </w:divBdr>
    </w:div>
    <w:div w:id="308243839">
      <w:bodyDiv w:val="1"/>
      <w:marLeft w:val="0"/>
      <w:marRight w:val="0"/>
      <w:marTop w:val="0"/>
      <w:marBottom w:val="0"/>
      <w:divBdr>
        <w:top w:val="none" w:sz="0" w:space="0" w:color="auto"/>
        <w:left w:val="none" w:sz="0" w:space="0" w:color="auto"/>
        <w:bottom w:val="none" w:sz="0" w:space="0" w:color="auto"/>
        <w:right w:val="none" w:sz="0" w:space="0" w:color="auto"/>
      </w:divBdr>
    </w:div>
    <w:div w:id="314528073">
      <w:bodyDiv w:val="1"/>
      <w:marLeft w:val="0"/>
      <w:marRight w:val="0"/>
      <w:marTop w:val="0"/>
      <w:marBottom w:val="0"/>
      <w:divBdr>
        <w:top w:val="none" w:sz="0" w:space="0" w:color="auto"/>
        <w:left w:val="none" w:sz="0" w:space="0" w:color="auto"/>
        <w:bottom w:val="none" w:sz="0" w:space="0" w:color="auto"/>
        <w:right w:val="none" w:sz="0" w:space="0" w:color="auto"/>
      </w:divBdr>
    </w:div>
    <w:div w:id="317618949">
      <w:bodyDiv w:val="1"/>
      <w:marLeft w:val="0"/>
      <w:marRight w:val="0"/>
      <w:marTop w:val="0"/>
      <w:marBottom w:val="0"/>
      <w:divBdr>
        <w:top w:val="none" w:sz="0" w:space="0" w:color="auto"/>
        <w:left w:val="none" w:sz="0" w:space="0" w:color="auto"/>
        <w:bottom w:val="none" w:sz="0" w:space="0" w:color="auto"/>
        <w:right w:val="none" w:sz="0" w:space="0" w:color="auto"/>
      </w:divBdr>
    </w:div>
    <w:div w:id="324364395">
      <w:bodyDiv w:val="1"/>
      <w:marLeft w:val="0"/>
      <w:marRight w:val="0"/>
      <w:marTop w:val="0"/>
      <w:marBottom w:val="0"/>
      <w:divBdr>
        <w:top w:val="none" w:sz="0" w:space="0" w:color="auto"/>
        <w:left w:val="none" w:sz="0" w:space="0" w:color="auto"/>
        <w:bottom w:val="none" w:sz="0" w:space="0" w:color="auto"/>
        <w:right w:val="none" w:sz="0" w:space="0" w:color="auto"/>
      </w:divBdr>
    </w:div>
    <w:div w:id="328140972">
      <w:bodyDiv w:val="1"/>
      <w:marLeft w:val="0"/>
      <w:marRight w:val="0"/>
      <w:marTop w:val="0"/>
      <w:marBottom w:val="0"/>
      <w:divBdr>
        <w:top w:val="none" w:sz="0" w:space="0" w:color="auto"/>
        <w:left w:val="none" w:sz="0" w:space="0" w:color="auto"/>
        <w:bottom w:val="none" w:sz="0" w:space="0" w:color="auto"/>
        <w:right w:val="none" w:sz="0" w:space="0" w:color="auto"/>
      </w:divBdr>
    </w:div>
    <w:div w:id="337393532">
      <w:bodyDiv w:val="1"/>
      <w:marLeft w:val="0"/>
      <w:marRight w:val="0"/>
      <w:marTop w:val="0"/>
      <w:marBottom w:val="0"/>
      <w:divBdr>
        <w:top w:val="none" w:sz="0" w:space="0" w:color="auto"/>
        <w:left w:val="none" w:sz="0" w:space="0" w:color="auto"/>
        <w:bottom w:val="none" w:sz="0" w:space="0" w:color="auto"/>
        <w:right w:val="none" w:sz="0" w:space="0" w:color="auto"/>
      </w:divBdr>
    </w:div>
    <w:div w:id="351961072">
      <w:bodyDiv w:val="1"/>
      <w:marLeft w:val="0"/>
      <w:marRight w:val="0"/>
      <w:marTop w:val="0"/>
      <w:marBottom w:val="0"/>
      <w:divBdr>
        <w:top w:val="none" w:sz="0" w:space="0" w:color="auto"/>
        <w:left w:val="none" w:sz="0" w:space="0" w:color="auto"/>
        <w:bottom w:val="none" w:sz="0" w:space="0" w:color="auto"/>
        <w:right w:val="none" w:sz="0" w:space="0" w:color="auto"/>
      </w:divBdr>
    </w:div>
    <w:div w:id="369189164">
      <w:bodyDiv w:val="1"/>
      <w:marLeft w:val="0"/>
      <w:marRight w:val="0"/>
      <w:marTop w:val="0"/>
      <w:marBottom w:val="0"/>
      <w:divBdr>
        <w:top w:val="none" w:sz="0" w:space="0" w:color="auto"/>
        <w:left w:val="none" w:sz="0" w:space="0" w:color="auto"/>
        <w:bottom w:val="none" w:sz="0" w:space="0" w:color="auto"/>
        <w:right w:val="none" w:sz="0" w:space="0" w:color="auto"/>
      </w:divBdr>
    </w:div>
    <w:div w:id="369500826">
      <w:bodyDiv w:val="1"/>
      <w:marLeft w:val="0"/>
      <w:marRight w:val="0"/>
      <w:marTop w:val="0"/>
      <w:marBottom w:val="0"/>
      <w:divBdr>
        <w:top w:val="none" w:sz="0" w:space="0" w:color="auto"/>
        <w:left w:val="none" w:sz="0" w:space="0" w:color="auto"/>
        <w:bottom w:val="none" w:sz="0" w:space="0" w:color="auto"/>
        <w:right w:val="none" w:sz="0" w:space="0" w:color="auto"/>
      </w:divBdr>
    </w:div>
    <w:div w:id="388267523">
      <w:bodyDiv w:val="1"/>
      <w:marLeft w:val="0"/>
      <w:marRight w:val="0"/>
      <w:marTop w:val="0"/>
      <w:marBottom w:val="0"/>
      <w:divBdr>
        <w:top w:val="none" w:sz="0" w:space="0" w:color="auto"/>
        <w:left w:val="none" w:sz="0" w:space="0" w:color="auto"/>
        <w:bottom w:val="none" w:sz="0" w:space="0" w:color="auto"/>
        <w:right w:val="none" w:sz="0" w:space="0" w:color="auto"/>
      </w:divBdr>
    </w:div>
    <w:div w:id="397823880">
      <w:bodyDiv w:val="1"/>
      <w:marLeft w:val="0"/>
      <w:marRight w:val="0"/>
      <w:marTop w:val="0"/>
      <w:marBottom w:val="0"/>
      <w:divBdr>
        <w:top w:val="none" w:sz="0" w:space="0" w:color="auto"/>
        <w:left w:val="none" w:sz="0" w:space="0" w:color="auto"/>
        <w:bottom w:val="none" w:sz="0" w:space="0" w:color="auto"/>
        <w:right w:val="none" w:sz="0" w:space="0" w:color="auto"/>
      </w:divBdr>
    </w:div>
    <w:div w:id="399906009">
      <w:bodyDiv w:val="1"/>
      <w:marLeft w:val="0"/>
      <w:marRight w:val="0"/>
      <w:marTop w:val="0"/>
      <w:marBottom w:val="0"/>
      <w:divBdr>
        <w:top w:val="none" w:sz="0" w:space="0" w:color="auto"/>
        <w:left w:val="none" w:sz="0" w:space="0" w:color="auto"/>
        <w:bottom w:val="none" w:sz="0" w:space="0" w:color="auto"/>
        <w:right w:val="none" w:sz="0" w:space="0" w:color="auto"/>
      </w:divBdr>
    </w:div>
    <w:div w:id="406610183">
      <w:bodyDiv w:val="1"/>
      <w:marLeft w:val="0"/>
      <w:marRight w:val="0"/>
      <w:marTop w:val="0"/>
      <w:marBottom w:val="0"/>
      <w:divBdr>
        <w:top w:val="none" w:sz="0" w:space="0" w:color="auto"/>
        <w:left w:val="none" w:sz="0" w:space="0" w:color="auto"/>
        <w:bottom w:val="none" w:sz="0" w:space="0" w:color="auto"/>
        <w:right w:val="none" w:sz="0" w:space="0" w:color="auto"/>
      </w:divBdr>
    </w:div>
    <w:div w:id="417290620">
      <w:bodyDiv w:val="1"/>
      <w:marLeft w:val="0"/>
      <w:marRight w:val="0"/>
      <w:marTop w:val="0"/>
      <w:marBottom w:val="0"/>
      <w:divBdr>
        <w:top w:val="none" w:sz="0" w:space="0" w:color="auto"/>
        <w:left w:val="none" w:sz="0" w:space="0" w:color="auto"/>
        <w:bottom w:val="none" w:sz="0" w:space="0" w:color="auto"/>
        <w:right w:val="none" w:sz="0" w:space="0" w:color="auto"/>
      </w:divBdr>
    </w:div>
    <w:div w:id="424543529">
      <w:bodyDiv w:val="1"/>
      <w:marLeft w:val="0"/>
      <w:marRight w:val="0"/>
      <w:marTop w:val="0"/>
      <w:marBottom w:val="0"/>
      <w:divBdr>
        <w:top w:val="none" w:sz="0" w:space="0" w:color="auto"/>
        <w:left w:val="none" w:sz="0" w:space="0" w:color="auto"/>
        <w:bottom w:val="none" w:sz="0" w:space="0" w:color="auto"/>
        <w:right w:val="none" w:sz="0" w:space="0" w:color="auto"/>
      </w:divBdr>
    </w:div>
    <w:div w:id="458961340">
      <w:bodyDiv w:val="1"/>
      <w:marLeft w:val="0"/>
      <w:marRight w:val="0"/>
      <w:marTop w:val="0"/>
      <w:marBottom w:val="0"/>
      <w:divBdr>
        <w:top w:val="none" w:sz="0" w:space="0" w:color="auto"/>
        <w:left w:val="none" w:sz="0" w:space="0" w:color="auto"/>
        <w:bottom w:val="none" w:sz="0" w:space="0" w:color="auto"/>
        <w:right w:val="none" w:sz="0" w:space="0" w:color="auto"/>
      </w:divBdr>
    </w:div>
    <w:div w:id="489178099">
      <w:bodyDiv w:val="1"/>
      <w:marLeft w:val="0"/>
      <w:marRight w:val="0"/>
      <w:marTop w:val="0"/>
      <w:marBottom w:val="0"/>
      <w:divBdr>
        <w:top w:val="none" w:sz="0" w:space="0" w:color="auto"/>
        <w:left w:val="none" w:sz="0" w:space="0" w:color="auto"/>
        <w:bottom w:val="none" w:sz="0" w:space="0" w:color="auto"/>
        <w:right w:val="none" w:sz="0" w:space="0" w:color="auto"/>
      </w:divBdr>
    </w:div>
    <w:div w:id="492792826">
      <w:bodyDiv w:val="1"/>
      <w:marLeft w:val="0"/>
      <w:marRight w:val="0"/>
      <w:marTop w:val="0"/>
      <w:marBottom w:val="0"/>
      <w:divBdr>
        <w:top w:val="none" w:sz="0" w:space="0" w:color="auto"/>
        <w:left w:val="none" w:sz="0" w:space="0" w:color="auto"/>
        <w:bottom w:val="none" w:sz="0" w:space="0" w:color="auto"/>
        <w:right w:val="none" w:sz="0" w:space="0" w:color="auto"/>
      </w:divBdr>
    </w:div>
    <w:div w:id="507598790">
      <w:bodyDiv w:val="1"/>
      <w:marLeft w:val="0"/>
      <w:marRight w:val="0"/>
      <w:marTop w:val="0"/>
      <w:marBottom w:val="0"/>
      <w:divBdr>
        <w:top w:val="none" w:sz="0" w:space="0" w:color="auto"/>
        <w:left w:val="none" w:sz="0" w:space="0" w:color="auto"/>
        <w:bottom w:val="none" w:sz="0" w:space="0" w:color="auto"/>
        <w:right w:val="none" w:sz="0" w:space="0" w:color="auto"/>
      </w:divBdr>
    </w:div>
    <w:div w:id="517279104">
      <w:bodyDiv w:val="1"/>
      <w:marLeft w:val="0"/>
      <w:marRight w:val="0"/>
      <w:marTop w:val="0"/>
      <w:marBottom w:val="0"/>
      <w:divBdr>
        <w:top w:val="none" w:sz="0" w:space="0" w:color="auto"/>
        <w:left w:val="none" w:sz="0" w:space="0" w:color="auto"/>
        <w:bottom w:val="none" w:sz="0" w:space="0" w:color="auto"/>
        <w:right w:val="none" w:sz="0" w:space="0" w:color="auto"/>
      </w:divBdr>
    </w:div>
    <w:div w:id="524904283">
      <w:bodyDiv w:val="1"/>
      <w:marLeft w:val="0"/>
      <w:marRight w:val="0"/>
      <w:marTop w:val="0"/>
      <w:marBottom w:val="0"/>
      <w:divBdr>
        <w:top w:val="none" w:sz="0" w:space="0" w:color="auto"/>
        <w:left w:val="none" w:sz="0" w:space="0" w:color="auto"/>
        <w:bottom w:val="none" w:sz="0" w:space="0" w:color="auto"/>
        <w:right w:val="none" w:sz="0" w:space="0" w:color="auto"/>
      </w:divBdr>
    </w:div>
    <w:div w:id="536430239">
      <w:bodyDiv w:val="1"/>
      <w:marLeft w:val="0"/>
      <w:marRight w:val="0"/>
      <w:marTop w:val="0"/>
      <w:marBottom w:val="0"/>
      <w:divBdr>
        <w:top w:val="none" w:sz="0" w:space="0" w:color="auto"/>
        <w:left w:val="none" w:sz="0" w:space="0" w:color="auto"/>
        <w:bottom w:val="none" w:sz="0" w:space="0" w:color="auto"/>
        <w:right w:val="none" w:sz="0" w:space="0" w:color="auto"/>
      </w:divBdr>
    </w:div>
    <w:div w:id="564995470">
      <w:bodyDiv w:val="1"/>
      <w:marLeft w:val="0"/>
      <w:marRight w:val="0"/>
      <w:marTop w:val="0"/>
      <w:marBottom w:val="0"/>
      <w:divBdr>
        <w:top w:val="none" w:sz="0" w:space="0" w:color="auto"/>
        <w:left w:val="none" w:sz="0" w:space="0" w:color="auto"/>
        <w:bottom w:val="none" w:sz="0" w:space="0" w:color="auto"/>
        <w:right w:val="none" w:sz="0" w:space="0" w:color="auto"/>
      </w:divBdr>
    </w:div>
    <w:div w:id="581068146">
      <w:bodyDiv w:val="1"/>
      <w:marLeft w:val="0"/>
      <w:marRight w:val="0"/>
      <w:marTop w:val="0"/>
      <w:marBottom w:val="0"/>
      <w:divBdr>
        <w:top w:val="none" w:sz="0" w:space="0" w:color="auto"/>
        <w:left w:val="none" w:sz="0" w:space="0" w:color="auto"/>
        <w:bottom w:val="none" w:sz="0" w:space="0" w:color="auto"/>
        <w:right w:val="none" w:sz="0" w:space="0" w:color="auto"/>
      </w:divBdr>
    </w:div>
    <w:div w:id="583224377">
      <w:bodyDiv w:val="1"/>
      <w:marLeft w:val="0"/>
      <w:marRight w:val="0"/>
      <w:marTop w:val="0"/>
      <w:marBottom w:val="0"/>
      <w:divBdr>
        <w:top w:val="none" w:sz="0" w:space="0" w:color="auto"/>
        <w:left w:val="none" w:sz="0" w:space="0" w:color="auto"/>
        <w:bottom w:val="none" w:sz="0" w:space="0" w:color="auto"/>
        <w:right w:val="none" w:sz="0" w:space="0" w:color="auto"/>
      </w:divBdr>
    </w:div>
    <w:div w:id="589774275">
      <w:bodyDiv w:val="1"/>
      <w:marLeft w:val="0"/>
      <w:marRight w:val="0"/>
      <w:marTop w:val="0"/>
      <w:marBottom w:val="0"/>
      <w:divBdr>
        <w:top w:val="none" w:sz="0" w:space="0" w:color="auto"/>
        <w:left w:val="none" w:sz="0" w:space="0" w:color="auto"/>
        <w:bottom w:val="none" w:sz="0" w:space="0" w:color="auto"/>
        <w:right w:val="none" w:sz="0" w:space="0" w:color="auto"/>
      </w:divBdr>
    </w:div>
    <w:div w:id="608705051">
      <w:bodyDiv w:val="1"/>
      <w:marLeft w:val="0"/>
      <w:marRight w:val="0"/>
      <w:marTop w:val="0"/>
      <w:marBottom w:val="0"/>
      <w:divBdr>
        <w:top w:val="none" w:sz="0" w:space="0" w:color="auto"/>
        <w:left w:val="none" w:sz="0" w:space="0" w:color="auto"/>
        <w:bottom w:val="none" w:sz="0" w:space="0" w:color="auto"/>
        <w:right w:val="none" w:sz="0" w:space="0" w:color="auto"/>
      </w:divBdr>
    </w:div>
    <w:div w:id="609318329">
      <w:bodyDiv w:val="1"/>
      <w:marLeft w:val="0"/>
      <w:marRight w:val="0"/>
      <w:marTop w:val="0"/>
      <w:marBottom w:val="0"/>
      <w:divBdr>
        <w:top w:val="none" w:sz="0" w:space="0" w:color="auto"/>
        <w:left w:val="none" w:sz="0" w:space="0" w:color="auto"/>
        <w:bottom w:val="none" w:sz="0" w:space="0" w:color="auto"/>
        <w:right w:val="none" w:sz="0" w:space="0" w:color="auto"/>
      </w:divBdr>
    </w:div>
    <w:div w:id="613289895">
      <w:bodyDiv w:val="1"/>
      <w:marLeft w:val="0"/>
      <w:marRight w:val="0"/>
      <w:marTop w:val="0"/>
      <w:marBottom w:val="0"/>
      <w:divBdr>
        <w:top w:val="none" w:sz="0" w:space="0" w:color="auto"/>
        <w:left w:val="none" w:sz="0" w:space="0" w:color="auto"/>
        <w:bottom w:val="none" w:sz="0" w:space="0" w:color="auto"/>
        <w:right w:val="none" w:sz="0" w:space="0" w:color="auto"/>
      </w:divBdr>
    </w:div>
    <w:div w:id="618071154">
      <w:bodyDiv w:val="1"/>
      <w:marLeft w:val="0"/>
      <w:marRight w:val="0"/>
      <w:marTop w:val="0"/>
      <w:marBottom w:val="0"/>
      <w:divBdr>
        <w:top w:val="none" w:sz="0" w:space="0" w:color="auto"/>
        <w:left w:val="none" w:sz="0" w:space="0" w:color="auto"/>
        <w:bottom w:val="none" w:sz="0" w:space="0" w:color="auto"/>
        <w:right w:val="none" w:sz="0" w:space="0" w:color="auto"/>
      </w:divBdr>
    </w:div>
    <w:div w:id="622034651">
      <w:bodyDiv w:val="1"/>
      <w:marLeft w:val="0"/>
      <w:marRight w:val="0"/>
      <w:marTop w:val="0"/>
      <w:marBottom w:val="0"/>
      <w:divBdr>
        <w:top w:val="none" w:sz="0" w:space="0" w:color="auto"/>
        <w:left w:val="none" w:sz="0" w:space="0" w:color="auto"/>
        <w:bottom w:val="none" w:sz="0" w:space="0" w:color="auto"/>
        <w:right w:val="none" w:sz="0" w:space="0" w:color="auto"/>
      </w:divBdr>
    </w:div>
    <w:div w:id="623275440">
      <w:bodyDiv w:val="1"/>
      <w:marLeft w:val="0"/>
      <w:marRight w:val="0"/>
      <w:marTop w:val="0"/>
      <w:marBottom w:val="0"/>
      <w:divBdr>
        <w:top w:val="none" w:sz="0" w:space="0" w:color="auto"/>
        <w:left w:val="none" w:sz="0" w:space="0" w:color="auto"/>
        <w:bottom w:val="none" w:sz="0" w:space="0" w:color="auto"/>
        <w:right w:val="none" w:sz="0" w:space="0" w:color="auto"/>
      </w:divBdr>
    </w:div>
    <w:div w:id="623275841">
      <w:bodyDiv w:val="1"/>
      <w:marLeft w:val="0"/>
      <w:marRight w:val="0"/>
      <w:marTop w:val="0"/>
      <w:marBottom w:val="0"/>
      <w:divBdr>
        <w:top w:val="none" w:sz="0" w:space="0" w:color="auto"/>
        <w:left w:val="none" w:sz="0" w:space="0" w:color="auto"/>
        <w:bottom w:val="none" w:sz="0" w:space="0" w:color="auto"/>
        <w:right w:val="none" w:sz="0" w:space="0" w:color="auto"/>
      </w:divBdr>
    </w:div>
    <w:div w:id="643194760">
      <w:bodyDiv w:val="1"/>
      <w:marLeft w:val="0"/>
      <w:marRight w:val="0"/>
      <w:marTop w:val="0"/>
      <w:marBottom w:val="0"/>
      <w:divBdr>
        <w:top w:val="none" w:sz="0" w:space="0" w:color="auto"/>
        <w:left w:val="none" w:sz="0" w:space="0" w:color="auto"/>
        <w:bottom w:val="none" w:sz="0" w:space="0" w:color="auto"/>
        <w:right w:val="none" w:sz="0" w:space="0" w:color="auto"/>
      </w:divBdr>
    </w:div>
    <w:div w:id="648168041">
      <w:bodyDiv w:val="1"/>
      <w:marLeft w:val="0"/>
      <w:marRight w:val="0"/>
      <w:marTop w:val="0"/>
      <w:marBottom w:val="0"/>
      <w:divBdr>
        <w:top w:val="none" w:sz="0" w:space="0" w:color="auto"/>
        <w:left w:val="none" w:sz="0" w:space="0" w:color="auto"/>
        <w:bottom w:val="none" w:sz="0" w:space="0" w:color="auto"/>
        <w:right w:val="none" w:sz="0" w:space="0" w:color="auto"/>
      </w:divBdr>
    </w:div>
    <w:div w:id="660810564">
      <w:bodyDiv w:val="1"/>
      <w:marLeft w:val="0"/>
      <w:marRight w:val="0"/>
      <w:marTop w:val="0"/>
      <w:marBottom w:val="0"/>
      <w:divBdr>
        <w:top w:val="none" w:sz="0" w:space="0" w:color="auto"/>
        <w:left w:val="none" w:sz="0" w:space="0" w:color="auto"/>
        <w:bottom w:val="none" w:sz="0" w:space="0" w:color="auto"/>
        <w:right w:val="none" w:sz="0" w:space="0" w:color="auto"/>
      </w:divBdr>
    </w:div>
    <w:div w:id="669600904">
      <w:bodyDiv w:val="1"/>
      <w:marLeft w:val="0"/>
      <w:marRight w:val="0"/>
      <w:marTop w:val="0"/>
      <w:marBottom w:val="0"/>
      <w:divBdr>
        <w:top w:val="none" w:sz="0" w:space="0" w:color="auto"/>
        <w:left w:val="none" w:sz="0" w:space="0" w:color="auto"/>
        <w:bottom w:val="none" w:sz="0" w:space="0" w:color="auto"/>
        <w:right w:val="none" w:sz="0" w:space="0" w:color="auto"/>
      </w:divBdr>
    </w:div>
    <w:div w:id="671493717">
      <w:bodyDiv w:val="1"/>
      <w:marLeft w:val="0"/>
      <w:marRight w:val="0"/>
      <w:marTop w:val="0"/>
      <w:marBottom w:val="0"/>
      <w:divBdr>
        <w:top w:val="none" w:sz="0" w:space="0" w:color="auto"/>
        <w:left w:val="none" w:sz="0" w:space="0" w:color="auto"/>
        <w:bottom w:val="none" w:sz="0" w:space="0" w:color="auto"/>
        <w:right w:val="none" w:sz="0" w:space="0" w:color="auto"/>
      </w:divBdr>
    </w:div>
    <w:div w:id="679239130">
      <w:bodyDiv w:val="1"/>
      <w:marLeft w:val="0"/>
      <w:marRight w:val="0"/>
      <w:marTop w:val="0"/>
      <w:marBottom w:val="0"/>
      <w:divBdr>
        <w:top w:val="none" w:sz="0" w:space="0" w:color="auto"/>
        <w:left w:val="none" w:sz="0" w:space="0" w:color="auto"/>
        <w:bottom w:val="none" w:sz="0" w:space="0" w:color="auto"/>
        <w:right w:val="none" w:sz="0" w:space="0" w:color="auto"/>
      </w:divBdr>
    </w:div>
    <w:div w:id="684746824">
      <w:bodyDiv w:val="1"/>
      <w:marLeft w:val="0"/>
      <w:marRight w:val="0"/>
      <w:marTop w:val="0"/>
      <w:marBottom w:val="0"/>
      <w:divBdr>
        <w:top w:val="none" w:sz="0" w:space="0" w:color="auto"/>
        <w:left w:val="none" w:sz="0" w:space="0" w:color="auto"/>
        <w:bottom w:val="none" w:sz="0" w:space="0" w:color="auto"/>
        <w:right w:val="none" w:sz="0" w:space="0" w:color="auto"/>
      </w:divBdr>
    </w:div>
    <w:div w:id="702901573">
      <w:bodyDiv w:val="1"/>
      <w:marLeft w:val="0"/>
      <w:marRight w:val="0"/>
      <w:marTop w:val="0"/>
      <w:marBottom w:val="0"/>
      <w:divBdr>
        <w:top w:val="none" w:sz="0" w:space="0" w:color="auto"/>
        <w:left w:val="none" w:sz="0" w:space="0" w:color="auto"/>
        <w:bottom w:val="none" w:sz="0" w:space="0" w:color="auto"/>
        <w:right w:val="none" w:sz="0" w:space="0" w:color="auto"/>
      </w:divBdr>
    </w:div>
    <w:div w:id="725105496">
      <w:bodyDiv w:val="1"/>
      <w:marLeft w:val="0"/>
      <w:marRight w:val="0"/>
      <w:marTop w:val="0"/>
      <w:marBottom w:val="0"/>
      <w:divBdr>
        <w:top w:val="none" w:sz="0" w:space="0" w:color="auto"/>
        <w:left w:val="none" w:sz="0" w:space="0" w:color="auto"/>
        <w:bottom w:val="none" w:sz="0" w:space="0" w:color="auto"/>
        <w:right w:val="none" w:sz="0" w:space="0" w:color="auto"/>
      </w:divBdr>
    </w:div>
    <w:div w:id="725952521">
      <w:bodyDiv w:val="1"/>
      <w:marLeft w:val="0"/>
      <w:marRight w:val="0"/>
      <w:marTop w:val="0"/>
      <w:marBottom w:val="0"/>
      <w:divBdr>
        <w:top w:val="none" w:sz="0" w:space="0" w:color="auto"/>
        <w:left w:val="none" w:sz="0" w:space="0" w:color="auto"/>
        <w:bottom w:val="none" w:sz="0" w:space="0" w:color="auto"/>
        <w:right w:val="none" w:sz="0" w:space="0" w:color="auto"/>
      </w:divBdr>
    </w:div>
    <w:div w:id="737169208">
      <w:bodyDiv w:val="1"/>
      <w:marLeft w:val="0"/>
      <w:marRight w:val="0"/>
      <w:marTop w:val="0"/>
      <w:marBottom w:val="0"/>
      <w:divBdr>
        <w:top w:val="none" w:sz="0" w:space="0" w:color="auto"/>
        <w:left w:val="none" w:sz="0" w:space="0" w:color="auto"/>
        <w:bottom w:val="none" w:sz="0" w:space="0" w:color="auto"/>
        <w:right w:val="none" w:sz="0" w:space="0" w:color="auto"/>
      </w:divBdr>
    </w:div>
    <w:div w:id="739593079">
      <w:bodyDiv w:val="1"/>
      <w:marLeft w:val="0"/>
      <w:marRight w:val="0"/>
      <w:marTop w:val="0"/>
      <w:marBottom w:val="0"/>
      <w:divBdr>
        <w:top w:val="none" w:sz="0" w:space="0" w:color="auto"/>
        <w:left w:val="none" w:sz="0" w:space="0" w:color="auto"/>
        <w:bottom w:val="none" w:sz="0" w:space="0" w:color="auto"/>
        <w:right w:val="none" w:sz="0" w:space="0" w:color="auto"/>
      </w:divBdr>
    </w:div>
    <w:div w:id="741370271">
      <w:bodyDiv w:val="1"/>
      <w:marLeft w:val="0"/>
      <w:marRight w:val="0"/>
      <w:marTop w:val="0"/>
      <w:marBottom w:val="0"/>
      <w:divBdr>
        <w:top w:val="none" w:sz="0" w:space="0" w:color="auto"/>
        <w:left w:val="none" w:sz="0" w:space="0" w:color="auto"/>
        <w:bottom w:val="none" w:sz="0" w:space="0" w:color="auto"/>
        <w:right w:val="none" w:sz="0" w:space="0" w:color="auto"/>
      </w:divBdr>
    </w:div>
    <w:div w:id="744449254">
      <w:bodyDiv w:val="1"/>
      <w:marLeft w:val="0"/>
      <w:marRight w:val="0"/>
      <w:marTop w:val="0"/>
      <w:marBottom w:val="0"/>
      <w:divBdr>
        <w:top w:val="none" w:sz="0" w:space="0" w:color="auto"/>
        <w:left w:val="none" w:sz="0" w:space="0" w:color="auto"/>
        <w:bottom w:val="none" w:sz="0" w:space="0" w:color="auto"/>
        <w:right w:val="none" w:sz="0" w:space="0" w:color="auto"/>
      </w:divBdr>
    </w:div>
    <w:div w:id="760031139">
      <w:bodyDiv w:val="1"/>
      <w:marLeft w:val="0"/>
      <w:marRight w:val="0"/>
      <w:marTop w:val="0"/>
      <w:marBottom w:val="0"/>
      <w:divBdr>
        <w:top w:val="none" w:sz="0" w:space="0" w:color="auto"/>
        <w:left w:val="none" w:sz="0" w:space="0" w:color="auto"/>
        <w:bottom w:val="none" w:sz="0" w:space="0" w:color="auto"/>
        <w:right w:val="none" w:sz="0" w:space="0" w:color="auto"/>
      </w:divBdr>
    </w:div>
    <w:div w:id="760835129">
      <w:bodyDiv w:val="1"/>
      <w:marLeft w:val="0"/>
      <w:marRight w:val="0"/>
      <w:marTop w:val="0"/>
      <w:marBottom w:val="0"/>
      <w:divBdr>
        <w:top w:val="none" w:sz="0" w:space="0" w:color="auto"/>
        <w:left w:val="none" w:sz="0" w:space="0" w:color="auto"/>
        <w:bottom w:val="none" w:sz="0" w:space="0" w:color="auto"/>
        <w:right w:val="none" w:sz="0" w:space="0" w:color="auto"/>
      </w:divBdr>
    </w:div>
    <w:div w:id="766314393">
      <w:bodyDiv w:val="1"/>
      <w:marLeft w:val="0"/>
      <w:marRight w:val="0"/>
      <w:marTop w:val="0"/>
      <w:marBottom w:val="0"/>
      <w:divBdr>
        <w:top w:val="none" w:sz="0" w:space="0" w:color="auto"/>
        <w:left w:val="none" w:sz="0" w:space="0" w:color="auto"/>
        <w:bottom w:val="none" w:sz="0" w:space="0" w:color="auto"/>
        <w:right w:val="none" w:sz="0" w:space="0" w:color="auto"/>
      </w:divBdr>
    </w:div>
    <w:div w:id="772164505">
      <w:bodyDiv w:val="1"/>
      <w:marLeft w:val="0"/>
      <w:marRight w:val="0"/>
      <w:marTop w:val="0"/>
      <w:marBottom w:val="0"/>
      <w:divBdr>
        <w:top w:val="none" w:sz="0" w:space="0" w:color="auto"/>
        <w:left w:val="none" w:sz="0" w:space="0" w:color="auto"/>
        <w:bottom w:val="none" w:sz="0" w:space="0" w:color="auto"/>
        <w:right w:val="none" w:sz="0" w:space="0" w:color="auto"/>
      </w:divBdr>
    </w:div>
    <w:div w:id="776172248">
      <w:bodyDiv w:val="1"/>
      <w:marLeft w:val="0"/>
      <w:marRight w:val="0"/>
      <w:marTop w:val="0"/>
      <w:marBottom w:val="0"/>
      <w:divBdr>
        <w:top w:val="none" w:sz="0" w:space="0" w:color="auto"/>
        <w:left w:val="none" w:sz="0" w:space="0" w:color="auto"/>
        <w:bottom w:val="none" w:sz="0" w:space="0" w:color="auto"/>
        <w:right w:val="none" w:sz="0" w:space="0" w:color="auto"/>
      </w:divBdr>
    </w:div>
    <w:div w:id="778912386">
      <w:bodyDiv w:val="1"/>
      <w:marLeft w:val="0"/>
      <w:marRight w:val="0"/>
      <w:marTop w:val="0"/>
      <w:marBottom w:val="0"/>
      <w:divBdr>
        <w:top w:val="none" w:sz="0" w:space="0" w:color="auto"/>
        <w:left w:val="none" w:sz="0" w:space="0" w:color="auto"/>
        <w:bottom w:val="none" w:sz="0" w:space="0" w:color="auto"/>
        <w:right w:val="none" w:sz="0" w:space="0" w:color="auto"/>
      </w:divBdr>
    </w:div>
    <w:div w:id="790711464">
      <w:bodyDiv w:val="1"/>
      <w:marLeft w:val="0"/>
      <w:marRight w:val="0"/>
      <w:marTop w:val="0"/>
      <w:marBottom w:val="0"/>
      <w:divBdr>
        <w:top w:val="none" w:sz="0" w:space="0" w:color="auto"/>
        <w:left w:val="none" w:sz="0" w:space="0" w:color="auto"/>
        <w:bottom w:val="none" w:sz="0" w:space="0" w:color="auto"/>
        <w:right w:val="none" w:sz="0" w:space="0" w:color="auto"/>
      </w:divBdr>
    </w:div>
    <w:div w:id="798374099">
      <w:bodyDiv w:val="1"/>
      <w:marLeft w:val="0"/>
      <w:marRight w:val="0"/>
      <w:marTop w:val="0"/>
      <w:marBottom w:val="0"/>
      <w:divBdr>
        <w:top w:val="none" w:sz="0" w:space="0" w:color="auto"/>
        <w:left w:val="none" w:sz="0" w:space="0" w:color="auto"/>
        <w:bottom w:val="none" w:sz="0" w:space="0" w:color="auto"/>
        <w:right w:val="none" w:sz="0" w:space="0" w:color="auto"/>
      </w:divBdr>
    </w:div>
    <w:div w:id="799304401">
      <w:bodyDiv w:val="1"/>
      <w:marLeft w:val="0"/>
      <w:marRight w:val="0"/>
      <w:marTop w:val="0"/>
      <w:marBottom w:val="0"/>
      <w:divBdr>
        <w:top w:val="none" w:sz="0" w:space="0" w:color="auto"/>
        <w:left w:val="none" w:sz="0" w:space="0" w:color="auto"/>
        <w:bottom w:val="none" w:sz="0" w:space="0" w:color="auto"/>
        <w:right w:val="none" w:sz="0" w:space="0" w:color="auto"/>
      </w:divBdr>
    </w:div>
    <w:div w:id="803816434">
      <w:bodyDiv w:val="1"/>
      <w:marLeft w:val="0"/>
      <w:marRight w:val="0"/>
      <w:marTop w:val="0"/>
      <w:marBottom w:val="0"/>
      <w:divBdr>
        <w:top w:val="none" w:sz="0" w:space="0" w:color="auto"/>
        <w:left w:val="none" w:sz="0" w:space="0" w:color="auto"/>
        <w:bottom w:val="none" w:sz="0" w:space="0" w:color="auto"/>
        <w:right w:val="none" w:sz="0" w:space="0" w:color="auto"/>
      </w:divBdr>
    </w:div>
    <w:div w:id="826357284">
      <w:bodyDiv w:val="1"/>
      <w:marLeft w:val="0"/>
      <w:marRight w:val="0"/>
      <w:marTop w:val="0"/>
      <w:marBottom w:val="0"/>
      <w:divBdr>
        <w:top w:val="none" w:sz="0" w:space="0" w:color="auto"/>
        <w:left w:val="none" w:sz="0" w:space="0" w:color="auto"/>
        <w:bottom w:val="none" w:sz="0" w:space="0" w:color="auto"/>
        <w:right w:val="none" w:sz="0" w:space="0" w:color="auto"/>
      </w:divBdr>
    </w:div>
    <w:div w:id="827746677">
      <w:bodyDiv w:val="1"/>
      <w:marLeft w:val="0"/>
      <w:marRight w:val="0"/>
      <w:marTop w:val="0"/>
      <w:marBottom w:val="0"/>
      <w:divBdr>
        <w:top w:val="none" w:sz="0" w:space="0" w:color="auto"/>
        <w:left w:val="none" w:sz="0" w:space="0" w:color="auto"/>
        <w:bottom w:val="none" w:sz="0" w:space="0" w:color="auto"/>
        <w:right w:val="none" w:sz="0" w:space="0" w:color="auto"/>
      </w:divBdr>
    </w:div>
    <w:div w:id="869149963">
      <w:bodyDiv w:val="1"/>
      <w:marLeft w:val="0"/>
      <w:marRight w:val="0"/>
      <w:marTop w:val="0"/>
      <w:marBottom w:val="0"/>
      <w:divBdr>
        <w:top w:val="none" w:sz="0" w:space="0" w:color="auto"/>
        <w:left w:val="none" w:sz="0" w:space="0" w:color="auto"/>
        <w:bottom w:val="none" w:sz="0" w:space="0" w:color="auto"/>
        <w:right w:val="none" w:sz="0" w:space="0" w:color="auto"/>
      </w:divBdr>
    </w:div>
    <w:div w:id="869874063">
      <w:bodyDiv w:val="1"/>
      <w:marLeft w:val="0"/>
      <w:marRight w:val="0"/>
      <w:marTop w:val="0"/>
      <w:marBottom w:val="0"/>
      <w:divBdr>
        <w:top w:val="none" w:sz="0" w:space="0" w:color="auto"/>
        <w:left w:val="none" w:sz="0" w:space="0" w:color="auto"/>
        <w:bottom w:val="none" w:sz="0" w:space="0" w:color="auto"/>
        <w:right w:val="none" w:sz="0" w:space="0" w:color="auto"/>
      </w:divBdr>
    </w:div>
    <w:div w:id="876700931">
      <w:bodyDiv w:val="1"/>
      <w:marLeft w:val="0"/>
      <w:marRight w:val="0"/>
      <w:marTop w:val="0"/>
      <w:marBottom w:val="0"/>
      <w:divBdr>
        <w:top w:val="none" w:sz="0" w:space="0" w:color="auto"/>
        <w:left w:val="none" w:sz="0" w:space="0" w:color="auto"/>
        <w:bottom w:val="none" w:sz="0" w:space="0" w:color="auto"/>
        <w:right w:val="none" w:sz="0" w:space="0" w:color="auto"/>
      </w:divBdr>
    </w:div>
    <w:div w:id="906843895">
      <w:bodyDiv w:val="1"/>
      <w:marLeft w:val="0"/>
      <w:marRight w:val="0"/>
      <w:marTop w:val="0"/>
      <w:marBottom w:val="0"/>
      <w:divBdr>
        <w:top w:val="none" w:sz="0" w:space="0" w:color="auto"/>
        <w:left w:val="none" w:sz="0" w:space="0" w:color="auto"/>
        <w:bottom w:val="none" w:sz="0" w:space="0" w:color="auto"/>
        <w:right w:val="none" w:sz="0" w:space="0" w:color="auto"/>
      </w:divBdr>
    </w:div>
    <w:div w:id="910315574">
      <w:bodyDiv w:val="1"/>
      <w:marLeft w:val="0"/>
      <w:marRight w:val="0"/>
      <w:marTop w:val="0"/>
      <w:marBottom w:val="0"/>
      <w:divBdr>
        <w:top w:val="none" w:sz="0" w:space="0" w:color="auto"/>
        <w:left w:val="none" w:sz="0" w:space="0" w:color="auto"/>
        <w:bottom w:val="none" w:sz="0" w:space="0" w:color="auto"/>
        <w:right w:val="none" w:sz="0" w:space="0" w:color="auto"/>
      </w:divBdr>
    </w:div>
    <w:div w:id="941497094">
      <w:bodyDiv w:val="1"/>
      <w:marLeft w:val="0"/>
      <w:marRight w:val="0"/>
      <w:marTop w:val="0"/>
      <w:marBottom w:val="0"/>
      <w:divBdr>
        <w:top w:val="none" w:sz="0" w:space="0" w:color="auto"/>
        <w:left w:val="none" w:sz="0" w:space="0" w:color="auto"/>
        <w:bottom w:val="none" w:sz="0" w:space="0" w:color="auto"/>
        <w:right w:val="none" w:sz="0" w:space="0" w:color="auto"/>
      </w:divBdr>
    </w:div>
    <w:div w:id="961306549">
      <w:bodyDiv w:val="1"/>
      <w:marLeft w:val="0"/>
      <w:marRight w:val="0"/>
      <w:marTop w:val="0"/>
      <w:marBottom w:val="0"/>
      <w:divBdr>
        <w:top w:val="none" w:sz="0" w:space="0" w:color="auto"/>
        <w:left w:val="none" w:sz="0" w:space="0" w:color="auto"/>
        <w:bottom w:val="none" w:sz="0" w:space="0" w:color="auto"/>
        <w:right w:val="none" w:sz="0" w:space="0" w:color="auto"/>
      </w:divBdr>
    </w:div>
    <w:div w:id="998270029">
      <w:bodyDiv w:val="1"/>
      <w:marLeft w:val="0"/>
      <w:marRight w:val="0"/>
      <w:marTop w:val="0"/>
      <w:marBottom w:val="0"/>
      <w:divBdr>
        <w:top w:val="none" w:sz="0" w:space="0" w:color="auto"/>
        <w:left w:val="none" w:sz="0" w:space="0" w:color="auto"/>
        <w:bottom w:val="none" w:sz="0" w:space="0" w:color="auto"/>
        <w:right w:val="none" w:sz="0" w:space="0" w:color="auto"/>
      </w:divBdr>
    </w:div>
    <w:div w:id="1024867766">
      <w:bodyDiv w:val="1"/>
      <w:marLeft w:val="0"/>
      <w:marRight w:val="0"/>
      <w:marTop w:val="0"/>
      <w:marBottom w:val="0"/>
      <w:divBdr>
        <w:top w:val="none" w:sz="0" w:space="0" w:color="auto"/>
        <w:left w:val="none" w:sz="0" w:space="0" w:color="auto"/>
        <w:bottom w:val="none" w:sz="0" w:space="0" w:color="auto"/>
        <w:right w:val="none" w:sz="0" w:space="0" w:color="auto"/>
      </w:divBdr>
    </w:div>
    <w:div w:id="1026444614">
      <w:bodyDiv w:val="1"/>
      <w:marLeft w:val="0"/>
      <w:marRight w:val="0"/>
      <w:marTop w:val="0"/>
      <w:marBottom w:val="0"/>
      <w:divBdr>
        <w:top w:val="none" w:sz="0" w:space="0" w:color="auto"/>
        <w:left w:val="none" w:sz="0" w:space="0" w:color="auto"/>
        <w:bottom w:val="none" w:sz="0" w:space="0" w:color="auto"/>
        <w:right w:val="none" w:sz="0" w:space="0" w:color="auto"/>
      </w:divBdr>
    </w:div>
    <w:div w:id="1032269189">
      <w:bodyDiv w:val="1"/>
      <w:marLeft w:val="0"/>
      <w:marRight w:val="0"/>
      <w:marTop w:val="0"/>
      <w:marBottom w:val="0"/>
      <w:divBdr>
        <w:top w:val="none" w:sz="0" w:space="0" w:color="auto"/>
        <w:left w:val="none" w:sz="0" w:space="0" w:color="auto"/>
        <w:bottom w:val="none" w:sz="0" w:space="0" w:color="auto"/>
        <w:right w:val="none" w:sz="0" w:space="0" w:color="auto"/>
      </w:divBdr>
    </w:div>
    <w:div w:id="1048647201">
      <w:bodyDiv w:val="1"/>
      <w:marLeft w:val="0"/>
      <w:marRight w:val="0"/>
      <w:marTop w:val="0"/>
      <w:marBottom w:val="0"/>
      <w:divBdr>
        <w:top w:val="none" w:sz="0" w:space="0" w:color="auto"/>
        <w:left w:val="none" w:sz="0" w:space="0" w:color="auto"/>
        <w:bottom w:val="none" w:sz="0" w:space="0" w:color="auto"/>
        <w:right w:val="none" w:sz="0" w:space="0" w:color="auto"/>
      </w:divBdr>
    </w:div>
    <w:div w:id="1052266590">
      <w:bodyDiv w:val="1"/>
      <w:marLeft w:val="0"/>
      <w:marRight w:val="0"/>
      <w:marTop w:val="0"/>
      <w:marBottom w:val="0"/>
      <w:divBdr>
        <w:top w:val="none" w:sz="0" w:space="0" w:color="auto"/>
        <w:left w:val="none" w:sz="0" w:space="0" w:color="auto"/>
        <w:bottom w:val="none" w:sz="0" w:space="0" w:color="auto"/>
        <w:right w:val="none" w:sz="0" w:space="0" w:color="auto"/>
      </w:divBdr>
    </w:div>
    <w:div w:id="1068575555">
      <w:bodyDiv w:val="1"/>
      <w:marLeft w:val="0"/>
      <w:marRight w:val="0"/>
      <w:marTop w:val="0"/>
      <w:marBottom w:val="0"/>
      <w:divBdr>
        <w:top w:val="none" w:sz="0" w:space="0" w:color="auto"/>
        <w:left w:val="none" w:sz="0" w:space="0" w:color="auto"/>
        <w:bottom w:val="none" w:sz="0" w:space="0" w:color="auto"/>
        <w:right w:val="none" w:sz="0" w:space="0" w:color="auto"/>
      </w:divBdr>
    </w:div>
    <w:div w:id="1069498694">
      <w:bodyDiv w:val="1"/>
      <w:marLeft w:val="0"/>
      <w:marRight w:val="0"/>
      <w:marTop w:val="0"/>
      <w:marBottom w:val="0"/>
      <w:divBdr>
        <w:top w:val="none" w:sz="0" w:space="0" w:color="auto"/>
        <w:left w:val="none" w:sz="0" w:space="0" w:color="auto"/>
        <w:bottom w:val="none" w:sz="0" w:space="0" w:color="auto"/>
        <w:right w:val="none" w:sz="0" w:space="0" w:color="auto"/>
      </w:divBdr>
    </w:div>
    <w:div w:id="1070538466">
      <w:bodyDiv w:val="1"/>
      <w:marLeft w:val="0"/>
      <w:marRight w:val="0"/>
      <w:marTop w:val="0"/>
      <w:marBottom w:val="0"/>
      <w:divBdr>
        <w:top w:val="none" w:sz="0" w:space="0" w:color="auto"/>
        <w:left w:val="none" w:sz="0" w:space="0" w:color="auto"/>
        <w:bottom w:val="none" w:sz="0" w:space="0" w:color="auto"/>
        <w:right w:val="none" w:sz="0" w:space="0" w:color="auto"/>
      </w:divBdr>
    </w:div>
    <w:div w:id="1097868044">
      <w:bodyDiv w:val="1"/>
      <w:marLeft w:val="0"/>
      <w:marRight w:val="0"/>
      <w:marTop w:val="0"/>
      <w:marBottom w:val="0"/>
      <w:divBdr>
        <w:top w:val="none" w:sz="0" w:space="0" w:color="auto"/>
        <w:left w:val="none" w:sz="0" w:space="0" w:color="auto"/>
        <w:bottom w:val="none" w:sz="0" w:space="0" w:color="auto"/>
        <w:right w:val="none" w:sz="0" w:space="0" w:color="auto"/>
      </w:divBdr>
    </w:div>
    <w:div w:id="1098604005">
      <w:bodyDiv w:val="1"/>
      <w:marLeft w:val="0"/>
      <w:marRight w:val="0"/>
      <w:marTop w:val="0"/>
      <w:marBottom w:val="0"/>
      <w:divBdr>
        <w:top w:val="none" w:sz="0" w:space="0" w:color="auto"/>
        <w:left w:val="none" w:sz="0" w:space="0" w:color="auto"/>
        <w:bottom w:val="none" w:sz="0" w:space="0" w:color="auto"/>
        <w:right w:val="none" w:sz="0" w:space="0" w:color="auto"/>
      </w:divBdr>
    </w:div>
    <w:div w:id="1117142629">
      <w:bodyDiv w:val="1"/>
      <w:marLeft w:val="0"/>
      <w:marRight w:val="0"/>
      <w:marTop w:val="0"/>
      <w:marBottom w:val="0"/>
      <w:divBdr>
        <w:top w:val="none" w:sz="0" w:space="0" w:color="auto"/>
        <w:left w:val="none" w:sz="0" w:space="0" w:color="auto"/>
        <w:bottom w:val="none" w:sz="0" w:space="0" w:color="auto"/>
        <w:right w:val="none" w:sz="0" w:space="0" w:color="auto"/>
      </w:divBdr>
    </w:div>
    <w:div w:id="1119371425">
      <w:bodyDiv w:val="1"/>
      <w:marLeft w:val="0"/>
      <w:marRight w:val="0"/>
      <w:marTop w:val="0"/>
      <w:marBottom w:val="0"/>
      <w:divBdr>
        <w:top w:val="none" w:sz="0" w:space="0" w:color="auto"/>
        <w:left w:val="none" w:sz="0" w:space="0" w:color="auto"/>
        <w:bottom w:val="none" w:sz="0" w:space="0" w:color="auto"/>
        <w:right w:val="none" w:sz="0" w:space="0" w:color="auto"/>
      </w:divBdr>
    </w:div>
    <w:div w:id="1124035577">
      <w:bodyDiv w:val="1"/>
      <w:marLeft w:val="0"/>
      <w:marRight w:val="0"/>
      <w:marTop w:val="0"/>
      <w:marBottom w:val="0"/>
      <w:divBdr>
        <w:top w:val="none" w:sz="0" w:space="0" w:color="auto"/>
        <w:left w:val="none" w:sz="0" w:space="0" w:color="auto"/>
        <w:bottom w:val="none" w:sz="0" w:space="0" w:color="auto"/>
        <w:right w:val="none" w:sz="0" w:space="0" w:color="auto"/>
      </w:divBdr>
    </w:div>
    <w:div w:id="1125731547">
      <w:bodyDiv w:val="1"/>
      <w:marLeft w:val="0"/>
      <w:marRight w:val="0"/>
      <w:marTop w:val="0"/>
      <w:marBottom w:val="0"/>
      <w:divBdr>
        <w:top w:val="none" w:sz="0" w:space="0" w:color="auto"/>
        <w:left w:val="none" w:sz="0" w:space="0" w:color="auto"/>
        <w:bottom w:val="none" w:sz="0" w:space="0" w:color="auto"/>
        <w:right w:val="none" w:sz="0" w:space="0" w:color="auto"/>
      </w:divBdr>
    </w:div>
    <w:div w:id="1129786314">
      <w:bodyDiv w:val="1"/>
      <w:marLeft w:val="0"/>
      <w:marRight w:val="0"/>
      <w:marTop w:val="0"/>
      <w:marBottom w:val="0"/>
      <w:divBdr>
        <w:top w:val="none" w:sz="0" w:space="0" w:color="auto"/>
        <w:left w:val="none" w:sz="0" w:space="0" w:color="auto"/>
        <w:bottom w:val="none" w:sz="0" w:space="0" w:color="auto"/>
        <w:right w:val="none" w:sz="0" w:space="0" w:color="auto"/>
      </w:divBdr>
    </w:div>
    <w:div w:id="1152212960">
      <w:bodyDiv w:val="1"/>
      <w:marLeft w:val="0"/>
      <w:marRight w:val="0"/>
      <w:marTop w:val="0"/>
      <w:marBottom w:val="0"/>
      <w:divBdr>
        <w:top w:val="none" w:sz="0" w:space="0" w:color="auto"/>
        <w:left w:val="none" w:sz="0" w:space="0" w:color="auto"/>
        <w:bottom w:val="none" w:sz="0" w:space="0" w:color="auto"/>
        <w:right w:val="none" w:sz="0" w:space="0" w:color="auto"/>
      </w:divBdr>
    </w:div>
    <w:div w:id="1153717683">
      <w:bodyDiv w:val="1"/>
      <w:marLeft w:val="0"/>
      <w:marRight w:val="0"/>
      <w:marTop w:val="0"/>
      <w:marBottom w:val="0"/>
      <w:divBdr>
        <w:top w:val="none" w:sz="0" w:space="0" w:color="auto"/>
        <w:left w:val="none" w:sz="0" w:space="0" w:color="auto"/>
        <w:bottom w:val="none" w:sz="0" w:space="0" w:color="auto"/>
        <w:right w:val="none" w:sz="0" w:space="0" w:color="auto"/>
      </w:divBdr>
    </w:div>
    <w:div w:id="1175995453">
      <w:bodyDiv w:val="1"/>
      <w:marLeft w:val="0"/>
      <w:marRight w:val="0"/>
      <w:marTop w:val="0"/>
      <w:marBottom w:val="0"/>
      <w:divBdr>
        <w:top w:val="none" w:sz="0" w:space="0" w:color="auto"/>
        <w:left w:val="none" w:sz="0" w:space="0" w:color="auto"/>
        <w:bottom w:val="none" w:sz="0" w:space="0" w:color="auto"/>
        <w:right w:val="none" w:sz="0" w:space="0" w:color="auto"/>
      </w:divBdr>
    </w:div>
    <w:div w:id="1198742774">
      <w:bodyDiv w:val="1"/>
      <w:marLeft w:val="0"/>
      <w:marRight w:val="0"/>
      <w:marTop w:val="0"/>
      <w:marBottom w:val="0"/>
      <w:divBdr>
        <w:top w:val="none" w:sz="0" w:space="0" w:color="auto"/>
        <w:left w:val="none" w:sz="0" w:space="0" w:color="auto"/>
        <w:bottom w:val="none" w:sz="0" w:space="0" w:color="auto"/>
        <w:right w:val="none" w:sz="0" w:space="0" w:color="auto"/>
      </w:divBdr>
    </w:div>
    <w:div w:id="1238396326">
      <w:bodyDiv w:val="1"/>
      <w:marLeft w:val="0"/>
      <w:marRight w:val="0"/>
      <w:marTop w:val="0"/>
      <w:marBottom w:val="0"/>
      <w:divBdr>
        <w:top w:val="none" w:sz="0" w:space="0" w:color="auto"/>
        <w:left w:val="none" w:sz="0" w:space="0" w:color="auto"/>
        <w:bottom w:val="none" w:sz="0" w:space="0" w:color="auto"/>
        <w:right w:val="none" w:sz="0" w:space="0" w:color="auto"/>
      </w:divBdr>
    </w:div>
    <w:div w:id="1248925423">
      <w:bodyDiv w:val="1"/>
      <w:marLeft w:val="0"/>
      <w:marRight w:val="0"/>
      <w:marTop w:val="0"/>
      <w:marBottom w:val="0"/>
      <w:divBdr>
        <w:top w:val="none" w:sz="0" w:space="0" w:color="auto"/>
        <w:left w:val="none" w:sz="0" w:space="0" w:color="auto"/>
        <w:bottom w:val="none" w:sz="0" w:space="0" w:color="auto"/>
        <w:right w:val="none" w:sz="0" w:space="0" w:color="auto"/>
      </w:divBdr>
    </w:div>
    <w:div w:id="1261447947">
      <w:bodyDiv w:val="1"/>
      <w:marLeft w:val="0"/>
      <w:marRight w:val="0"/>
      <w:marTop w:val="0"/>
      <w:marBottom w:val="0"/>
      <w:divBdr>
        <w:top w:val="none" w:sz="0" w:space="0" w:color="auto"/>
        <w:left w:val="none" w:sz="0" w:space="0" w:color="auto"/>
        <w:bottom w:val="none" w:sz="0" w:space="0" w:color="auto"/>
        <w:right w:val="none" w:sz="0" w:space="0" w:color="auto"/>
      </w:divBdr>
    </w:div>
    <w:div w:id="1271006940">
      <w:bodyDiv w:val="1"/>
      <w:marLeft w:val="0"/>
      <w:marRight w:val="0"/>
      <w:marTop w:val="0"/>
      <w:marBottom w:val="0"/>
      <w:divBdr>
        <w:top w:val="none" w:sz="0" w:space="0" w:color="auto"/>
        <w:left w:val="none" w:sz="0" w:space="0" w:color="auto"/>
        <w:bottom w:val="none" w:sz="0" w:space="0" w:color="auto"/>
        <w:right w:val="none" w:sz="0" w:space="0" w:color="auto"/>
      </w:divBdr>
    </w:div>
    <w:div w:id="1273587354">
      <w:bodyDiv w:val="1"/>
      <w:marLeft w:val="0"/>
      <w:marRight w:val="0"/>
      <w:marTop w:val="0"/>
      <w:marBottom w:val="0"/>
      <w:divBdr>
        <w:top w:val="none" w:sz="0" w:space="0" w:color="auto"/>
        <w:left w:val="none" w:sz="0" w:space="0" w:color="auto"/>
        <w:bottom w:val="none" w:sz="0" w:space="0" w:color="auto"/>
        <w:right w:val="none" w:sz="0" w:space="0" w:color="auto"/>
      </w:divBdr>
    </w:div>
    <w:div w:id="1276594667">
      <w:bodyDiv w:val="1"/>
      <w:marLeft w:val="0"/>
      <w:marRight w:val="0"/>
      <w:marTop w:val="0"/>
      <w:marBottom w:val="0"/>
      <w:divBdr>
        <w:top w:val="none" w:sz="0" w:space="0" w:color="auto"/>
        <w:left w:val="none" w:sz="0" w:space="0" w:color="auto"/>
        <w:bottom w:val="none" w:sz="0" w:space="0" w:color="auto"/>
        <w:right w:val="none" w:sz="0" w:space="0" w:color="auto"/>
      </w:divBdr>
    </w:div>
    <w:div w:id="1279488010">
      <w:bodyDiv w:val="1"/>
      <w:marLeft w:val="0"/>
      <w:marRight w:val="0"/>
      <w:marTop w:val="0"/>
      <w:marBottom w:val="0"/>
      <w:divBdr>
        <w:top w:val="none" w:sz="0" w:space="0" w:color="auto"/>
        <w:left w:val="none" w:sz="0" w:space="0" w:color="auto"/>
        <w:bottom w:val="none" w:sz="0" w:space="0" w:color="auto"/>
        <w:right w:val="none" w:sz="0" w:space="0" w:color="auto"/>
      </w:divBdr>
    </w:div>
    <w:div w:id="1340619064">
      <w:bodyDiv w:val="1"/>
      <w:marLeft w:val="0"/>
      <w:marRight w:val="0"/>
      <w:marTop w:val="0"/>
      <w:marBottom w:val="0"/>
      <w:divBdr>
        <w:top w:val="none" w:sz="0" w:space="0" w:color="auto"/>
        <w:left w:val="none" w:sz="0" w:space="0" w:color="auto"/>
        <w:bottom w:val="none" w:sz="0" w:space="0" w:color="auto"/>
        <w:right w:val="none" w:sz="0" w:space="0" w:color="auto"/>
      </w:divBdr>
    </w:div>
    <w:div w:id="1371416121">
      <w:bodyDiv w:val="1"/>
      <w:marLeft w:val="0"/>
      <w:marRight w:val="0"/>
      <w:marTop w:val="0"/>
      <w:marBottom w:val="0"/>
      <w:divBdr>
        <w:top w:val="none" w:sz="0" w:space="0" w:color="auto"/>
        <w:left w:val="none" w:sz="0" w:space="0" w:color="auto"/>
        <w:bottom w:val="none" w:sz="0" w:space="0" w:color="auto"/>
        <w:right w:val="none" w:sz="0" w:space="0" w:color="auto"/>
      </w:divBdr>
    </w:div>
    <w:div w:id="1388995847">
      <w:bodyDiv w:val="1"/>
      <w:marLeft w:val="0"/>
      <w:marRight w:val="0"/>
      <w:marTop w:val="0"/>
      <w:marBottom w:val="0"/>
      <w:divBdr>
        <w:top w:val="none" w:sz="0" w:space="0" w:color="auto"/>
        <w:left w:val="none" w:sz="0" w:space="0" w:color="auto"/>
        <w:bottom w:val="none" w:sz="0" w:space="0" w:color="auto"/>
        <w:right w:val="none" w:sz="0" w:space="0" w:color="auto"/>
      </w:divBdr>
    </w:div>
    <w:div w:id="1407413591">
      <w:bodyDiv w:val="1"/>
      <w:marLeft w:val="0"/>
      <w:marRight w:val="0"/>
      <w:marTop w:val="0"/>
      <w:marBottom w:val="0"/>
      <w:divBdr>
        <w:top w:val="none" w:sz="0" w:space="0" w:color="auto"/>
        <w:left w:val="none" w:sz="0" w:space="0" w:color="auto"/>
        <w:bottom w:val="none" w:sz="0" w:space="0" w:color="auto"/>
        <w:right w:val="none" w:sz="0" w:space="0" w:color="auto"/>
      </w:divBdr>
    </w:div>
    <w:div w:id="1421292295">
      <w:bodyDiv w:val="1"/>
      <w:marLeft w:val="0"/>
      <w:marRight w:val="0"/>
      <w:marTop w:val="0"/>
      <w:marBottom w:val="0"/>
      <w:divBdr>
        <w:top w:val="none" w:sz="0" w:space="0" w:color="auto"/>
        <w:left w:val="none" w:sz="0" w:space="0" w:color="auto"/>
        <w:bottom w:val="none" w:sz="0" w:space="0" w:color="auto"/>
        <w:right w:val="none" w:sz="0" w:space="0" w:color="auto"/>
      </w:divBdr>
    </w:div>
    <w:div w:id="1432776862">
      <w:bodyDiv w:val="1"/>
      <w:marLeft w:val="0"/>
      <w:marRight w:val="0"/>
      <w:marTop w:val="0"/>
      <w:marBottom w:val="0"/>
      <w:divBdr>
        <w:top w:val="none" w:sz="0" w:space="0" w:color="auto"/>
        <w:left w:val="none" w:sz="0" w:space="0" w:color="auto"/>
        <w:bottom w:val="none" w:sz="0" w:space="0" w:color="auto"/>
        <w:right w:val="none" w:sz="0" w:space="0" w:color="auto"/>
      </w:divBdr>
    </w:div>
    <w:div w:id="1442996939">
      <w:bodyDiv w:val="1"/>
      <w:marLeft w:val="0"/>
      <w:marRight w:val="0"/>
      <w:marTop w:val="0"/>
      <w:marBottom w:val="0"/>
      <w:divBdr>
        <w:top w:val="none" w:sz="0" w:space="0" w:color="auto"/>
        <w:left w:val="none" w:sz="0" w:space="0" w:color="auto"/>
        <w:bottom w:val="none" w:sz="0" w:space="0" w:color="auto"/>
        <w:right w:val="none" w:sz="0" w:space="0" w:color="auto"/>
      </w:divBdr>
    </w:div>
    <w:div w:id="1467773916">
      <w:bodyDiv w:val="1"/>
      <w:marLeft w:val="0"/>
      <w:marRight w:val="0"/>
      <w:marTop w:val="0"/>
      <w:marBottom w:val="0"/>
      <w:divBdr>
        <w:top w:val="none" w:sz="0" w:space="0" w:color="auto"/>
        <w:left w:val="none" w:sz="0" w:space="0" w:color="auto"/>
        <w:bottom w:val="none" w:sz="0" w:space="0" w:color="auto"/>
        <w:right w:val="none" w:sz="0" w:space="0" w:color="auto"/>
      </w:divBdr>
    </w:div>
    <w:div w:id="1482692678">
      <w:bodyDiv w:val="1"/>
      <w:marLeft w:val="0"/>
      <w:marRight w:val="0"/>
      <w:marTop w:val="0"/>
      <w:marBottom w:val="0"/>
      <w:divBdr>
        <w:top w:val="none" w:sz="0" w:space="0" w:color="auto"/>
        <w:left w:val="none" w:sz="0" w:space="0" w:color="auto"/>
        <w:bottom w:val="none" w:sz="0" w:space="0" w:color="auto"/>
        <w:right w:val="none" w:sz="0" w:space="0" w:color="auto"/>
      </w:divBdr>
    </w:div>
    <w:div w:id="1484470118">
      <w:bodyDiv w:val="1"/>
      <w:marLeft w:val="0"/>
      <w:marRight w:val="0"/>
      <w:marTop w:val="0"/>
      <w:marBottom w:val="0"/>
      <w:divBdr>
        <w:top w:val="none" w:sz="0" w:space="0" w:color="auto"/>
        <w:left w:val="none" w:sz="0" w:space="0" w:color="auto"/>
        <w:bottom w:val="none" w:sz="0" w:space="0" w:color="auto"/>
        <w:right w:val="none" w:sz="0" w:space="0" w:color="auto"/>
      </w:divBdr>
    </w:div>
    <w:div w:id="1487237504">
      <w:bodyDiv w:val="1"/>
      <w:marLeft w:val="0"/>
      <w:marRight w:val="0"/>
      <w:marTop w:val="0"/>
      <w:marBottom w:val="0"/>
      <w:divBdr>
        <w:top w:val="none" w:sz="0" w:space="0" w:color="auto"/>
        <w:left w:val="none" w:sz="0" w:space="0" w:color="auto"/>
        <w:bottom w:val="none" w:sz="0" w:space="0" w:color="auto"/>
        <w:right w:val="none" w:sz="0" w:space="0" w:color="auto"/>
      </w:divBdr>
    </w:div>
    <w:div w:id="1518958638">
      <w:bodyDiv w:val="1"/>
      <w:marLeft w:val="0"/>
      <w:marRight w:val="0"/>
      <w:marTop w:val="0"/>
      <w:marBottom w:val="0"/>
      <w:divBdr>
        <w:top w:val="none" w:sz="0" w:space="0" w:color="auto"/>
        <w:left w:val="none" w:sz="0" w:space="0" w:color="auto"/>
        <w:bottom w:val="none" w:sz="0" w:space="0" w:color="auto"/>
        <w:right w:val="none" w:sz="0" w:space="0" w:color="auto"/>
      </w:divBdr>
    </w:div>
    <w:div w:id="1520896914">
      <w:bodyDiv w:val="1"/>
      <w:marLeft w:val="0"/>
      <w:marRight w:val="0"/>
      <w:marTop w:val="0"/>
      <w:marBottom w:val="0"/>
      <w:divBdr>
        <w:top w:val="none" w:sz="0" w:space="0" w:color="auto"/>
        <w:left w:val="none" w:sz="0" w:space="0" w:color="auto"/>
        <w:bottom w:val="none" w:sz="0" w:space="0" w:color="auto"/>
        <w:right w:val="none" w:sz="0" w:space="0" w:color="auto"/>
      </w:divBdr>
    </w:div>
    <w:div w:id="1531072094">
      <w:bodyDiv w:val="1"/>
      <w:marLeft w:val="0"/>
      <w:marRight w:val="0"/>
      <w:marTop w:val="0"/>
      <w:marBottom w:val="0"/>
      <w:divBdr>
        <w:top w:val="none" w:sz="0" w:space="0" w:color="auto"/>
        <w:left w:val="none" w:sz="0" w:space="0" w:color="auto"/>
        <w:bottom w:val="none" w:sz="0" w:space="0" w:color="auto"/>
        <w:right w:val="none" w:sz="0" w:space="0" w:color="auto"/>
      </w:divBdr>
      <w:divsChild>
        <w:div w:id="1664316129">
          <w:marLeft w:val="0"/>
          <w:marRight w:val="0"/>
          <w:marTop w:val="0"/>
          <w:marBottom w:val="0"/>
          <w:divBdr>
            <w:top w:val="none" w:sz="0" w:space="0" w:color="auto"/>
            <w:left w:val="none" w:sz="0" w:space="0" w:color="auto"/>
            <w:bottom w:val="none" w:sz="0" w:space="0" w:color="auto"/>
            <w:right w:val="none" w:sz="0" w:space="0" w:color="auto"/>
          </w:divBdr>
          <w:divsChild>
            <w:div w:id="1406494563">
              <w:marLeft w:val="0"/>
              <w:marRight w:val="0"/>
              <w:marTop w:val="0"/>
              <w:marBottom w:val="0"/>
              <w:divBdr>
                <w:top w:val="none" w:sz="0" w:space="0" w:color="auto"/>
                <w:left w:val="none" w:sz="0" w:space="0" w:color="auto"/>
                <w:bottom w:val="none" w:sz="0" w:space="0" w:color="auto"/>
                <w:right w:val="none" w:sz="0" w:space="0" w:color="auto"/>
              </w:divBdr>
              <w:divsChild>
                <w:div w:id="1876117594">
                  <w:marLeft w:val="0"/>
                  <w:marRight w:val="0"/>
                  <w:marTop w:val="0"/>
                  <w:marBottom w:val="0"/>
                  <w:divBdr>
                    <w:top w:val="none" w:sz="0" w:space="0" w:color="auto"/>
                    <w:left w:val="none" w:sz="0" w:space="0" w:color="auto"/>
                    <w:bottom w:val="none" w:sz="0" w:space="0" w:color="auto"/>
                    <w:right w:val="none" w:sz="0" w:space="0" w:color="auto"/>
                  </w:divBdr>
                  <w:divsChild>
                    <w:div w:id="1363215276">
                      <w:marLeft w:val="0"/>
                      <w:marRight w:val="0"/>
                      <w:marTop w:val="0"/>
                      <w:marBottom w:val="0"/>
                      <w:divBdr>
                        <w:top w:val="none" w:sz="0" w:space="0" w:color="auto"/>
                        <w:left w:val="none" w:sz="0" w:space="0" w:color="auto"/>
                        <w:bottom w:val="none" w:sz="0" w:space="0" w:color="auto"/>
                        <w:right w:val="none" w:sz="0" w:space="0" w:color="auto"/>
                      </w:divBdr>
                      <w:divsChild>
                        <w:div w:id="1994681327">
                          <w:marLeft w:val="0"/>
                          <w:marRight w:val="0"/>
                          <w:marTop w:val="45"/>
                          <w:marBottom w:val="0"/>
                          <w:divBdr>
                            <w:top w:val="none" w:sz="0" w:space="0" w:color="auto"/>
                            <w:left w:val="none" w:sz="0" w:space="0" w:color="auto"/>
                            <w:bottom w:val="none" w:sz="0" w:space="0" w:color="auto"/>
                            <w:right w:val="none" w:sz="0" w:space="0" w:color="auto"/>
                          </w:divBdr>
                          <w:divsChild>
                            <w:div w:id="884874659">
                              <w:marLeft w:val="0"/>
                              <w:marRight w:val="0"/>
                              <w:marTop w:val="0"/>
                              <w:marBottom w:val="0"/>
                              <w:divBdr>
                                <w:top w:val="none" w:sz="0" w:space="0" w:color="auto"/>
                                <w:left w:val="none" w:sz="0" w:space="0" w:color="auto"/>
                                <w:bottom w:val="none" w:sz="0" w:space="0" w:color="auto"/>
                                <w:right w:val="none" w:sz="0" w:space="0" w:color="auto"/>
                              </w:divBdr>
                              <w:divsChild>
                                <w:div w:id="1310555399">
                                  <w:marLeft w:val="2070"/>
                                  <w:marRight w:val="3810"/>
                                  <w:marTop w:val="0"/>
                                  <w:marBottom w:val="0"/>
                                  <w:divBdr>
                                    <w:top w:val="none" w:sz="0" w:space="0" w:color="auto"/>
                                    <w:left w:val="none" w:sz="0" w:space="0" w:color="auto"/>
                                    <w:bottom w:val="none" w:sz="0" w:space="0" w:color="auto"/>
                                    <w:right w:val="none" w:sz="0" w:space="0" w:color="auto"/>
                                  </w:divBdr>
                                  <w:divsChild>
                                    <w:div w:id="1797135350">
                                      <w:marLeft w:val="0"/>
                                      <w:marRight w:val="0"/>
                                      <w:marTop w:val="0"/>
                                      <w:marBottom w:val="0"/>
                                      <w:divBdr>
                                        <w:top w:val="none" w:sz="0" w:space="0" w:color="auto"/>
                                        <w:left w:val="none" w:sz="0" w:space="0" w:color="auto"/>
                                        <w:bottom w:val="none" w:sz="0" w:space="0" w:color="auto"/>
                                        <w:right w:val="none" w:sz="0" w:space="0" w:color="auto"/>
                                      </w:divBdr>
                                      <w:divsChild>
                                        <w:div w:id="1999454839">
                                          <w:marLeft w:val="0"/>
                                          <w:marRight w:val="0"/>
                                          <w:marTop w:val="0"/>
                                          <w:marBottom w:val="0"/>
                                          <w:divBdr>
                                            <w:top w:val="none" w:sz="0" w:space="0" w:color="auto"/>
                                            <w:left w:val="none" w:sz="0" w:space="0" w:color="auto"/>
                                            <w:bottom w:val="none" w:sz="0" w:space="0" w:color="auto"/>
                                            <w:right w:val="none" w:sz="0" w:space="0" w:color="auto"/>
                                          </w:divBdr>
                                          <w:divsChild>
                                            <w:div w:id="1261183822">
                                              <w:marLeft w:val="0"/>
                                              <w:marRight w:val="0"/>
                                              <w:marTop w:val="0"/>
                                              <w:marBottom w:val="0"/>
                                              <w:divBdr>
                                                <w:top w:val="none" w:sz="0" w:space="0" w:color="auto"/>
                                                <w:left w:val="none" w:sz="0" w:space="0" w:color="auto"/>
                                                <w:bottom w:val="none" w:sz="0" w:space="0" w:color="auto"/>
                                                <w:right w:val="none" w:sz="0" w:space="0" w:color="auto"/>
                                              </w:divBdr>
                                              <w:divsChild>
                                                <w:div w:id="578563974">
                                                  <w:marLeft w:val="0"/>
                                                  <w:marRight w:val="0"/>
                                                  <w:marTop w:val="0"/>
                                                  <w:marBottom w:val="0"/>
                                                  <w:divBdr>
                                                    <w:top w:val="none" w:sz="0" w:space="0" w:color="auto"/>
                                                    <w:left w:val="none" w:sz="0" w:space="0" w:color="auto"/>
                                                    <w:bottom w:val="none" w:sz="0" w:space="0" w:color="auto"/>
                                                    <w:right w:val="none" w:sz="0" w:space="0" w:color="auto"/>
                                                  </w:divBdr>
                                                  <w:divsChild>
                                                    <w:div w:id="816844859">
                                                      <w:marLeft w:val="0"/>
                                                      <w:marRight w:val="0"/>
                                                      <w:marTop w:val="0"/>
                                                      <w:marBottom w:val="0"/>
                                                      <w:divBdr>
                                                        <w:top w:val="none" w:sz="0" w:space="0" w:color="auto"/>
                                                        <w:left w:val="none" w:sz="0" w:space="0" w:color="auto"/>
                                                        <w:bottom w:val="none" w:sz="0" w:space="0" w:color="auto"/>
                                                        <w:right w:val="none" w:sz="0" w:space="0" w:color="auto"/>
                                                      </w:divBdr>
                                                      <w:divsChild>
                                                        <w:div w:id="15540731">
                                                          <w:marLeft w:val="0"/>
                                                          <w:marRight w:val="0"/>
                                                          <w:marTop w:val="0"/>
                                                          <w:marBottom w:val="345"/>
                                                          <w:divBdr>
                                                            <w:top w:val="none" w:sz="0" w:space="0" w:color="auto"/>
                                                            <w:left w:val="none" w:sz="0" w:space="0" w:color="auto"/>
                                                            <w:bottom w:val="none" w:sz="0" w:space="0" w:color="auto"/>
                                                            <w:right w:val="none" w:sz="0" w:space="0" w:color="auto"/>
                                                          </w:divBdr>
                                                          <w:divsChild>
                                                            <w:div w:id="95491751">
                                                              <w:marLeft w:val="0"/>
                                                              <w:marRight w:val="0"/>
                                                              <w:marTop w:val="0"/>
                                                              <w:marBottom w:val="0"/>
                                                              <w:divBdr>
                                                                <w:top w:val="none" w:sz="0" w:space="0" w:color="auto"/>
                                                                <w:left w:val="none" w:sz="0" w:space="0" w:color="auto"/>
                                                                <w:bottom w:val="none" w:sz="0" w:space="0" w:color="auto"/>
                                                                <w:right w:val="none" w:sz="0" w:space="0" w:color="auto"/>
                                                              </w:divBdr>
                                                              <w:divsChild>
                                                                <w:div w:id="1441948612">
                                                                  <w:marLeft w:val="0"/>
                                                                  <w:marRight w:val="0"/>
                                                                  <w:marTop w:val="0"/>
                                                                  <w:marBottom w:val="0"/>
                                                                  <w:divBdr>
                                                                    <w:top w:val="none" w:sz="0" w:space="0" w:color="auto"/>
                                                                    <w:left w:val="none" w:sz="0" w:space="0" w:color="auto"/>
                                                                    <w:bottom w:val="none" w:sz="0" w:space="0" w:color="auto"/>
                                                                    <w:right w:val="none" w:sz="0" w:space="0" w:color="auto"/>
                                                                  </w:divBdr>
                                                                  <w:divsChild>
                                                                    <w:div w:id="1566256243">
                                                                      <w:marLeft w:val="0"/>
                                                                      <w:marRight w:val="0"/>
                                                                      <w:marTop w:val="0"/>
                                                                      <w:marBottom w:val="0"/>
                                                                      <w:divBdr>
                                                                        <w:top w:val="none" w:sz="0" w:space="0" w:color="auto"/>
                                                                        <w:left w:val="none" w:sz="0" w:space="0" w:color="auto"/>
                                                                        <w:bottom w:val="none" w:sz="0" w:space="0" w:color="auto"/>
                                                                        <w:right w:val="none" w:sz="0" w:space="0" w:color="auto"/>
                                                                      </w:divBdr>
                                                                      <w:divsChild>
                                                                        <w:div w:id="103357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4344792">
      <w:bodyDiv w:val="1"/>
      <w:marLeft w:val="0"/>
      <w:marRight w:val="0"/>
      <w:marTop w:val="0"/>
      <w:marBottom w:val="0"/>
      <w:divBdr>
        <w:top w:val="none" w:sz="0" w:space="0" w:color="auto"/>
        <w:left w:val="none" w:sz="0" w:space="0" w:color="auto"/>
        <w:bottom w:val="none" w:sz="0" w:space="0" w:color="auto"/>
        <w:right w:val="none" w:sz="0" w:space="0" w:color="auto"/>
      </w:divBdr>
    </w:div>
    <w:div w:id="1542783079">
      <w:bodyDiv w:val="1"/>
      <w:marLeft w:val="0"/>
      <w:marRight w:val="0"/>
      <w:marTop w:val="0"/>
      <w:marBottom w:val="0"/>
      <w:divBdr>
        <w:top w:val="none" w:sz="0" w:space="0" w:color="auto"/>
        <w:left w:val="none" w:sz="0" w:space="0" w:color="auto"/>
        <w:bottom w:val="none" w:sz="0" w:space="0" w:color="auto"/>
        <w:right w:val="none" w:sz="0" w:space="0" w:color="auto"/>
      </w:divBdr>
    </w:div>
    <w:div w:id="1563444545">
      <w:bodyDiv w:val="1"/>
      <w:marLeft w:val="0"/>
      <w:marRight w:val="0"/>
      <w:marTop w:val="0"/>
      <w:marBottom w:val="0"/>
      <w:divBdr>
        <w:top w:val="none" w:sz="0" w:space="0" w:color="auto"/>
        <w:left w:val="none" w:sz="0" w:space="0" w:color="auto"/>
        <w:bottom w:val="none" w:sz="0" w:space="0" w:color="auto"/>
        <w:right w:val="none" w:sz="0" w:space="0" w:color="auto"/>
      </w:divBdr>
    </w:div>
    <w:div w:id="1573194221">
      <w:bodyDiv w:val="1"/>
      <w:marLeft w:val="0"/>
      <w:marRight w:val="0"/>
      <w:marTop w:val="0"/>
      <w:marBottom w:val="0"/>
      <w:divBdr>
        <w:top w:val="none" w:sz="0" w:space="0" w:color="auto"/>
        <w:left w:val="none" w:sz="0" w:space="0" w:color="auto"/>
        <w:bottom w:val="none" w:sz="0" w:space="0" w:color="auto"/>
        <w:right w:val="none" w:sz="0" w:space="0" w:color="auto"/>
      </w:divBdr>
    </w:div>
    <w:div w:id="1577208212">
      <w:bodyDiv w:val="1"/>
      <w:marLeft w:val="0"/>
      <w:marRight w:val="0"/>
      <w:marTop w:val="0"/>
      <w:marBottom w:val="0"/>
      <w:divBdr>
        <w:top w:val="none" w:sz="0" w:space="0" w:color="auto"/>
        <w:left w:val="none" w:sz="0" w:space="0" w:color="auto"/>
        <w:bottom w:val="none" w:sz="0" w:space="0" w:color="auto"/>
        <w:right w:val="none" w:sz="0" w:space="0" w:color="auto"/>
      </w:divBdr>
    </w:div>
    <w:div w:id="1582715325">
      <w:bodyDiv w:val="1"/>
      <w:marLeft w:val="0"/>
      <w:marRight w:val="0"/>
      <w:marTop w:val="0"/>
      <w:marBottom w:val="0"/>
      <w:divBdr>
        <w:top w:val="none" w:sz="0" w:space="0" w:color="auto"/>
        <w:left w:val="none" w:sz="0" w:space="0" w:color="auto"/>
        <w:bottom w:val="none" w:sz="0" w:space="0" w:color="auto"/>
        <w:right w:val="none" w:sz="0" w:space="0" w:color="auto"/>
      </w:divBdr>
    </w:div>
    <w:div w:id="1583643456">
      <w:bodyDiv w:val="1"/>
      <w:marLeft w:val="0"/>
      <w:marRight w:val="0"/>
      <w:marTop w:val="0"/>
      <w:marBottom w:val="0"/>
      <w:divBdr>
        <w:top w:val="none" w:sz="0" w:space="0" w:color="auto"/>
        <w:left w:val="none" w:sz="0" w:space="0" w:color="auto"/>
        <w:bottom w:val="none" w:sz="0" w:space="0" w:color="auto"/>
        <w:right w:val="none" w:sz="0" w:space="0" w:color="auto"/>
      </w:divBdr>
    </w:div>
    <w:div w:id="1587421930">
      <w:bodyDiv w:val="1"/>
      <w:marLeft w:val="0"/>
      <w:marRight w:val="0"/>
      <w:marTop w:val="0"/>
      <w:marBottom w:val="0"/>
      <w:divBdr>
        <w:top w:val="none" w:sz="0" w:space="0" w:color="auto"/>
        <w:left w:val="none" w:sz="0" w:space="0" w:color="auto"/>
        <w:bottom w:val="none" w:sz="0" w:space="0" w:color="auto"/>
        <w:right w:val="none" w:sz="0" w:space="0" w:color="auto"/>
      </w:divBdr>
    </w:div>
    <w:div w:id="1620184310">
      <w:bodyDiv w:val="1"/>
      <w:marLeft w:val="0"/>
      <w:marRight w:val="0"/>
      <w:marTop w:val="0"/>
      <w:marBottom w:val="0"/>
      <w:divBdr>
        <w:top w:val="none" w:sz="0" w:space="0" w:color="auto"/>
        <w:left w:val="none" w:sz="0" w:space="0" w:color="auto"/>
        <w:bottom w:val="none" w:sz="0" w:space="0" w:color="auto"/>
        <w:right w:val="none" w:sz="0" w:space="0" w:color="auto"/>
      </w:divBdr>
    </w:div>
    <w:div w:id="1622954534">
      <w:bodyDiv w:val="1"/>
      <w:marLeft w:val="0"/>
      <w:marRight w:val="0"/>
      <w:marTop w:val="0"/>
      <w:marBottom w:val="0"/>
      <w:divBdr>
        <w:top w:val="none" w:sz="0" w:space="0" w:color="auto"/>
        <w:left w:val="none" w:sz="0" w:space="0" w:color="auto"/>
        <w:bottom w:val="none" w:sz="0" w:space="0" w:color="auto"/>
        <w:right w:val="none" w:sz="0" w:space="0" w:color="auto"/>
      </w:divBdr>
    </w:div>
    <w:div w:id="1631476275">
      <w:bodyDiv w:val="1"/>
      <w:marLeft w:val="0"/>
      <w:marRight w:val="0"/>
      <w:marTop w:val="0"/>
      <w:marBottom w:val="0"/>
      <w:divBdr>
        <w:top w:val="none" w:sz="0" w:space="0" w:color="auto"/>
        <w:left w:val="none" w:sz="0" w:space="0" w:color="auto"/>
        <w:bottom w:val="none" w:sz="0" w:space="0" w:color="auto"/>
        <w:right w:val="none" w:sz="0" w:space="0" w:color="auto"/>
      </w:divBdr>
    </w:div>
    <w:div w:id="1636566635">
      <w:bodyDiv w:val="1"/>
      <w:marLeft w:val="0"/>
      <w:marRight w:val="0"/>
      <w:marTop w:val="0"/>
      <w:marBottom w:val="0"/>
      <w:divBdr>
        <w:top w:val="none" w:sz="0" w:space="0" w:color="auto"/>
        <w:left w:val="none" w:sz="0" w:space="0" w:color="auto"/>
        <w:bottom w:val="none" w:sz="0" w:space="0" w:color="auto"/>
        <w:right w:val="none" w:sz="0" w:space="0" w:color="auto"/>
      </w:divBdr>
    </w:div>
    <w:div w:id="1653946772">
      <w:bodyDiv w:val="1"/>
      <w:marLeft w:val="0"/>
      <w:marRight w:val="0"/>
      <w:marTop w:val="0"/>
      <w:marBottom w:val="0"/>
      <w:divBdr>
        <w:top w:val="none" w:sz="0" w:space="0" w:color="auto"/>
        <w:left w:val="none" w:sz="0" w:space="0" w:color="auto"/>
        <w:bottom w:val="none" w:sz="0" w:space="0" w:color="auto"/>
        <w:right w:val="none" w:sz="0" w:space="0" w:color="auto"/>
      </w:divBdr>
    </w:div>
    <w:div w:id="1656833631">
      <w:bodyDiv w:val="1"/>
      <w:marLeft w:val="0"/>
      <w:marRight w:val="0"/>
      <w:marTop w:val="0"/>
      <w:marBottom w:val="0"/>
      <w:divBdr>
        <w:top w:val="none" w:sz="0" w:space="0" w:color="auto"/>
        <w:left w:val="none" w:sz="0" w:space="0" w:color="auto"/>
        <w:bottom w:val="none" w:sz="0" w:space="0" w:color="auto"/>
        <w:right w:val="none" w:sz="0" w:space="0" w:color="auto"/>
      </w:divBdr>
    </w:div>
    <w:div w:id="1664315808">
      <w:bodyDiv w:val="1"/>
      <w:marLeft w:val="0"/>
      <w:marRight w:val="0"/>
      <w:marTop w:val="0"/>
      <w:marBottom w:val="0"/>
      <w:divBdr>
        <w:top w:val="none" w:sz="0" w:space="0" w:color="auto"/>
        <w:left w:val="none" w:sz="0" w:space="0" w:color="auto"/>
        <w:bottom w:val="none" w:sz="0" w:space="0" w:color="auto"/>
        <w:right w:val="none" w:sz="0" w:space="0" w:color="auto"/>
      </w:divBdr>
    </w:div>
    <w:div w:id="1674449741">
      <w:bodyDiv w:val="1"/>
      <w:marLeft w:val="0"/>
      <w:marRight w:val="0"/>
      <w:marTop w:val="0"/>
      <w:marBottom w:val="0"/>
      <w:divBdr>
        <w:top w:val="none" w:sz="0" w:space="0" w:color="auto"/>
        <w:left w:val="none" w:sz="0" w:space="0" w:color="auto"/>
        <w:bottom w:val="none" w:sz="0" w:space="0" w:color="auto"/>
        <w:right w:val="none" w:sz="0" w:space="0" w:color="auto"/>
      </w:divBdr>
    </w:div>
    <w:div w:id="1686905491">
      <w:bodyDiv w:val="1"/>
      <w:marLeft w:val="0"/>
      <w:marRight w:val="0"/>
      <w:marTop w:val="0"/>
      <w:marBottom w:val="0"/>
      <w:divBdr>
        <w:top w:val="none" w:sz="0" w:space="0" w:color="auto"/>
        <w:left w:val="none" w:sz="0" w:space="0" w:color="auto"/>
        <w:bottom w:val="none" w:sz="0" w:space="0" w:color="auto"/>
        <w:right w:val="none" w:sz="0" w:space="0" w:color="auto"/>
      </w:divBdr>
    </w:div>
    <w:div w:id="1725567822">
      <w:bodyDiv w:val="1"/>
      <w:marLeft w:val="0"/>
      <w:marRight w:val="0"/>
      <w:marTop w:val="0"/>
      <w:marBottom w:val="0"/>
      <w:divBdr>
        <w:top w:val="none" w:sz="0" w:space="0" w:color="auto"/>
        <w:left w:val="none" w:sz="0" w:space="0" w:color="auto"/>
        <w:bottom w:val="none" w:sz="0" w:space="0" w:color="auto"/>
        <w:right w:val="none" w:sz="0" w:space="0" w:color="auto"/>
      </w:divBdr>
    </w:div>
    <w:div w:id="1728065896">
      <w:bodyDiv w:val="1"/>
      <w:marLeft w:val="0"/>
      <w:marRight w:val="0"/>
      <w:marTop w:val="0"/>
      <w:marBottom w:val="0"/>
      <w:divBdr>
        <w:top w:val="none" w:sz="0" w:space="0" w:color="auto"/>
        <w:left w:val="none" w:sz="0" w:space="0" w:color="auto"/>
        <w:bottom w:val="none" w:sz="0" w:space="0" w:color="auto"/>
        <w:right w:val="none" w:sz="0" w:space="0" w:color="auto"/>
      </w:divBdr>
    </w:div>
    <w:div w:id="1745906533">
      <w:bodyDiv w:val="1"/>
      <w:marLeft w:val="0"/>
      <w:marRight w:val="0"/>
      <w:marTop w:val="0"/>
      <w:marBottom w:val="0"/>
      <w:divBdr>
        <w:top w:val="none" w:sz="0" w:space="0" w:color="auto"/>
        <w:left w:val="none" w:sz="0" w:space="0" w:color="auto"/>
        <w:bottom w:val="none" w:sz="0" w:space="0" w:color="auto"/>
        <w:right w:val="none" w:sz="0" w:space="0" w:color="auto"/>
      </w:divBdr>
    </w:div>
    <w:div w:id="1761637681">
      <w:bodyDiv w:val="1"/>
      <w:marLeft w:val="0"/>
      <w:marRight w:val="0"/>
      <w:marTop w:val="0"/>
      <w:marBottom w:val="0"/>
      <w:divBdr>
        <w:top w:val="none" w:sz="0" w:space="0" w:color="auto"/>
        <w:left w:val="none" w:sz="0" w:space="0" w:color="auto"/>
        <w:bottom w:val="none" w:sz="0" w:space="0" w:color="auto"/>
        <w:right w:val="none" w:sz="0" w:space="0" w:color="auto"/>
      </w:divBdr>
    </w:div>
    <w:div w:id="1774401861">
      <w:bodyDiv w:val="1"/>
      <w:marLeft w:val="0"/>
      <w:marRight w:val="0"/>
      <w:marTop w:val="0"/>
      <w:marBottom w:val="0"/>
      <w:divBdr>
        <w:top w:val="none" w:sz="0" w:space="0" w:color="auto"/>
        <w:left w:val="none" w:sz="0" w:space="0" w:color="auto"/>
        <w:bottom w:val="none" w:sz="0" w:space="0" w:color="auto"/>
        <w:right w:val="none" w:sz="0" w:space="0" w:color="auto"/>
      </w:divBdr>
    </w:div>
    <w:div w:id="1806971079">
      <w:bodyDiv w:val="1"/>
      <w:marLeft w:val="0"/>
      <w:marRight w:val="0"/>
      <w:marTop w:val="0"/>
      <w:marBottom w:val="0"/>
      <w:divBdr>
        <w:top w:val="none" w:sz="0" w:space="0" w:color="auto"/>
        <w:left w:val="none" w:sz="0" w:space="0" w:color="auto"/>
        <w:bottom w:val="none" w:sz="0" w:space="0" w:color="auto"/>
        <w:right w:val="none" w:sz="0" w:space="0" w:color="auto"/>
      </w:divBdr>
    </w:div>
    <w:div w:id="1810900204">
      <w:bodyDiv w:val="1"/>
      <w:marLeft w:val="0"/>
      <w:marRight w:val="0"/>
      <w:marTop w:val="0"/>
      <w:marBottom w:val="0"/>
      <w:divBdr>
        <w:top w:val="none" w:sz="0" w:space="0" w:color="auto"/>
        <w:left w:val="none" w:sz="0" w:space="0" w:color="auto"/>
        <w:bottom w:val="none" w:sz="0" w:space="0" w:color="auto"/>
        <w:right w:val="none" w:sz="0" w:space="0" w:color="auto"/>
      </w:divBdr>
    </w:div>
    <w:div w:id="1816679512">
      <w:bodyDiv w:val="1"/>
      <w:marLeft w:val="0"/>
      <w:marRight w:val="0"/>
      <w:marTop w:val="0"/>
      <w:marBottom w:val="0"/>
      <w:divBdr>
        <w:top w:val="none" w:sz="0" w:space="0" w:color="auto"/>
        <w:left w:val="none" w:sz="0" w:space="0" w:color="auto"/>
        <w:bottom w:val="none" w:sz="0" w:space="0" w:color="auto"/>
        <w:right w:val="none" w:sz="0" w:space="0" w:color="auto"/>
      </w:divBdr>
    </w:div>
    <w:div w:id="1820878128">
      <w:bodyDiv w:val="1"/>
      <w:marLeft w:val="0"/>
      <w:marRight w:val="0"/>
      <w:marTop w:val="0"/>
      <w:marBottom w:val="0"/>
      <w:divBdr>
        <w:top w:val="none" w:sz="0" w:space="0" w:color="auto"/>
        <w:left w:val="none" w:sz="0" w:space="0" w:color="auto"/>
        <w:bottom w:val="none" w:sz="0" w:space="0" w:color="auto"/>
        <w:right w:val="none" w:sz="0" w:space="0" w:color="auto"/>
      </w:divBdr>
    </w:div>
    <w:div w:id="1821849938">
      <w:bodyDiv w:val="1"/>
      <w:marLeft w:val="0"/>
      <w:marRight w:val="0"/>
      <w:marTop w:val="0"/>
      <w:marBottom w:val="0"/>
      <w:divBdr>
        <w:top w:val="none" w:sz="0" w:space="0" w:color="auto"/>
        <w:left w:val="none" w:sz="0" w:space="0" w:color="auto"/>
        <w:bottom w:val="none" w:sz="0" w:space="0" w:color="auto"/>
        <w:right w:val="none" w:sz="0" w:space="0" w:color="auto"/>
      </w:divBdr>
    </w:div>
    <w:div w:id="1822234481">
      <w:bodyDiv w:val="1"/>
      <w:marLeft w:val="0"/>
      <w:marRight w:val="0"/>
      <w:marTop w:val="0"/>
      <w:marBottom w:val="0"/>
      <w:divBdr>
        <w:top w:val="none" w:sz="0" w:space="0" w:color="auto"/>
        <w:left w:val="none" w:sz="0" w:space="0" w:color="auto"/>
        <w:bottom w:val="none" w:sz="0" w:space="0" w:color="auto"/>
        <w:right w:val="none" w:sz="0" w:space="0" w:color="auto"/>
      </w:divBdr>
    </w:div>
    <w:div w:id="1843351564">
      <w:bodyDiv w:val="1"/>
      <w:marLeft w:val="0"/>
      <w:marRight w:val="0"/>
      <w:marTop w:val="0"/>
      <w:marBottom w:val="0"/>
      <w:divBdr>
        <w:top w:val="none" w:sz="0" w:space="0" w:color="auto"/>
        <w:left w:val="none" w:sz="0" w:space="0" w:color="auto"/>
        <w:bottom w:val="none" w:sz="0" w:space="0" w:color="auto"/>
        <w:right w:val="none" w:sz="0" w:space="0" w:color="auto"/>
      </w:divBdr>
    </w:div>
    <w:div w:id="1847279326">
      <w:bodyDiv w:val="1"/>
      <w:marLeft w:val="0"/>
      <w:marRight w:val="0"/>
      <w:marTop w:val="0"/>
      <w:marBottom w:val="0"/>
      <w:divBdr>
        <w:top w:val="none" w:sz="0" w:space="0" w:color="auto"/>
        <w:left w:val="none" w:sz="0" w:space="0" w:color="auto"/>
        <w:bottom w:val="none" w:sz="0" w:space="0" w:color="auto"/>
        <w:right w:val="none" w:sz="0" w:space="0" w:color="auto"/>
      </w:divBdr>
    </w:div>
    <w:div w:id="1847284875">
      <w:bodyDiv w:val="1"/>
      <w:marLeft w:val="0"/>
      <w:marRight w:val="0"/>
      <w:marTop w:val="0"/>
      <w:marBottom w:val="0"/>
      <w:divBdr>
        <w:top w:val="none" w:sz="0" w:space="0" w:color="auto"/>
        <w:left w:val="none" w:sz="0" w:space="0" w:color="auto"/>
        <w:bottom w:val="none" w:sz="0" w:space="0" w:color="auto"/>
        <w:right w:val="none" w:sz="0" w:space="0" w:color="auto"/>
      </w:divBdr>
    </w:div>
    <w:div w:id="1851329880">
      <w:bodyDiv w:val="1"/>
      <w:marLeft w:val="0"/>
      <w:marRight w:val="0"/>
      <w:marTop w:val="0"/>
      <w:marBottom w:val="0"/>
      <w:divBdr>
        <w:top w:val="none" w:sz="0" w:space="0" w:color="auto"/>
        <w:left w:val="none" w:sz="0" w:space="0" w:color="auto"/>
        <w:bottom w:val="none" w:sz="0" w:space="0" w:color="auto"/>
        <w:right w:val="none" w:sz="0" w:space="0" w:color="auto"/>
      </w:divBdr>
    </w:div>
    <w:div w:id="1862816395">
      <w:bodyDiv w:val="1"/>
      <w:marLeft w:val="0"/>
      <w:marRight w:val="0"/>
      <w:marTop w:val="0"/>
      <w:marBottom w:val="0"/>
      <w:divBdr>
        <w:top w:val="none" w:sz="0" w:space="0" w:color="auto"/>
        <w:left w:val="none" w:sz="0" w:space="0" w:color="auto"/>
        <w:bottom w:val="none" w:sz="0" w:space="0" w:color="auto"/>
        <w:right w:val="none" w:sz="0" w:space="0" w:color="auto"/>
      </w:divBdr>
    </w:div>
    <w:div w:id="1866359712">
      <w:bodyDiv w:val="1"/>
      <w:marLeft w:val="0"/>
      <w:marRight w:val="0"/>
      <w:marTop w:val="0"/>
      <w:marBottom w:val="0"/>
      <w:divBdr>
        <w:top w:val="none" w:sz="0" w:space="0" w:color="auto"/>
        <w:left w:val="none" w:sz="0" w:space="0" w:color="auto"/>
        <w:bottom w:val="none" w:sz="0" w:space="0" w:color="auto"/>
        <w:right w:val="none" w:sz="0" w:space="0" w:color="auto"/>
      </w:divBdr>
    </w:div>
    <w:div w:id="1871992165">
      <w:bodyDiv w:val="1"/>
      <w:marLeft w:val="0"/>
      <w:marRight w:val="0"/>
      <w:marTop w:val="0"/>
      <w:marBottom w:val="0"/>
      <w:divBdr>
        <w:top w:val="none" w:sz="0" w:space="0" w:color="auto"/>
        <w:left w:val="none" w:sz="0" w:space="0" w:color="auto"/>
        <w:bottom w:val="none" w:sz="0" w:space="0" w:color="auto"/>
        <w:right w:val="none" w:sz="0" w:space="0" w:color="auto"/>
      </w:divBdr>
    </w:div>
    <w:div w:id="1882745613">
      <w:bodyDiv w:val="1"/>
      <w:marLeft w:val="0"/>
      <w:marRight w:val="0"/>
      <w:marTop w:val="0"/>
      <w:marBottom w:val="0"/>
      <w:divBdr>
        <w:top w:val="none" w:sz="0" w:space="0" w:color="auto"/>
        <w:left w:val="none" w:sz="0" w:space="0" w:color="auto"/>
        <w:bottom w:val="none" w:sz="0" w:space="0" w:color="auto"/>
        <w:right w:val="none" w:sz="0" w:space="0" w:color="auto"/>
      </w:divBdr>
    </w:div>
    <w:div w:id="1901820510">
      <w:bodyDiv w:val="1"/>
      <w:marLeft w:val="0"/>
      <w:marRight w:val="0"/>
      <w:marTop w:val="0"/>
      <w:marBottom w:val="0"/>
      <w:divBdr>
        <w:top w:val="none" w:sz="0" w:space="0" w:color="auto"/>
        <w:left w:val="none" w:sz="0" w:space="0" w:color="auto"/>
        <w:bottom w:val="none" w:sz="0" w:space="0" w:color="auto"/>
        <w:right w:val="none" w:sz="0" w:space="0" w:color="auto"/>
      </w:divBdr>
    </w:div>
    <w:div w:id="1903515427">
      <w:bodyDiv w:val="1"/>
      <w:marLeft w:val="0"/>
      <w:marRight w:val="0"/>
      <w:marTop w:val="0"/>
      <w:marBottom w:val="0"/>
      <w:divBdr>
        <w:top w:val="none" w:sz="0" w:space="0" w:color="auto"/>
        <w:left w:val="none" w:sz="0" w:space="0" w:color="auto"/>
        <w:bottom w:val="none" w:sz="0" w:space="0" w:color="auto"/>
        <w:right w:val="none" w:sz="0" w:space="0" w:color="auto"/>
      </w:divBdr>
    </w:div>
    <w:div w:id="1903558825">
      <w:bodyDiv w:val="1"/>
      <w:marLeft w:val="0"/>
      <w:marRight w:val="0"/>
      <w:marTop w:val="0"/>
      <w:marBottom w:val="0"/>
      <w:divBdr>
        <w:top w:val="none" w:sz="0" w:space="0" w:color="auto"/>
        <w:left w:val="none" w:sz="0" w:space="0" w:color="auto"/>
        <w:bottom w:val="none" w:sz="0" w:space="0" w:color="auto"/>
        <w:right w:val="none" w:sz="0" w:space="0" w:color="auto"/>
      </w:divBdr>
    </w:div>
    <w:div w:id="1903712796">
      <w:bodyDiv w:val="1"/>
      <w:marLeft w:val="0"/>
      <w:marRight w:val="0"/>
      <w:marTop w:val="0"/>
      <w:marBottom w:val="0"/>
      <w:divBdr>
        <w:top w:val="none" w:sz="0" w:space="0" w:color="auto"/>
        <w:left w:val="none" w:sz="0" w:space="0" w:color="auto"/>
        <w:bottom w:val="none" w:sz="0" w:space="0" w:color="auto"/>
        <w:right w:val="none" w:sz="0" w:space="0" w:color="auto"/>
      </w:divBdr>
    </w:div>
    <w:div w:id="1912694696">
      <w:bodyDiv w:val="1"/>
      <w:marLeft w:val="0"/>
      <w:marRight w:val="0"/>
      <w:marTop w:val="0"/>
      <w:marBottom w:val="0"/>
      <w:divBdr>
        <w:top w:val="none" w:sz="0" w:space="0" w:color="auto"/>
        <w:left w:val="none" w:sz="0" w:space="0" w:color="auto"/>
        <w:bottom w:val="none" w:sz="0" w:space="0" w:color="auto"/>
        <w:right w:val="none" w:sz="0" w:space="0" w:color="auto"/>
      </w:divBdr>
      <w:divsChild>
        <w:div w:id="325937853">
          <w:marLeft w:val="0"/>
          <w:marRight w:val="0"/>
          <w:marTop w:val="0"/>
          <w:marBottom w:val="0"/>
          <w:divBdr>
            <w:top w:val="none" w:sz="0" w:space="0" w:color="auto"/>
            <w:left w:val="none" w:sz="0" w:space="0" w:color="auto"/>
            <w:bottom w:val="none" w:sz="0" w:space="0" w:color="auto"/>
            <w:right w:val="none" w:sz="0" w:space="0" w:color="auto"/>
          </w:divBdr>
          <w:divsChild>
            <w:div w:id="1369799856">
              <w:marLeft w:val="60"/>
              <w:marRight w:val="60"/>
              <w:marTop w:val="0"/>
              <w:marBottom w:val="60"/>
              <w:divBdr>
                <w:top w:val="none" w:sz="0" w:space="0" w:color="auto"/>
                <w:left w:val="none" w:sz="0" w:space="0" w:color="auto"/>
                <w:bottom w:val="none" w:sz="0" w:space="0" w:color="auto"/>
                <w:right w:val="none" w:sz="0" w:space="0" w:color="auto"/>
              </w:divBdr>
              <w:divsChild>
                <w:div w:id="549463261">
                  <w:marLeft w:val="0"/>
                  <w:marRight w:val="0"/>
                  <w:marTop w:val="0"/>
                  <w:marBottom w:val="0"/>
                  <w:divBdr>
                    <w:top w:val="none" w:sz="0" w:space="0" w:color="auto"/>
                    <w:left w:val="none" w:sz="0" w:space="0" w:color="auto"/>
                    <w:bottom w:val="none" w:sz="0" w:space="0" w:color="auto"/>
                    <w:right w:val="none" w:sz="0" w:space="0" w:color="auto"/>
                  </w:divBdr>
                  <w:divsChild>
                    <w:div w:id="217672085">
                      <w:marLeft w:val="0"/>
                      <w:marRight w:val="0"/>
                      <w:marTop w:val="0"/>
                      <w:marBottom w:val="0"/>
                      <w:divBdr>
                        <w:top w:val="none" w:sz="0" w:space="0" w:color="auto"/>
                        <w:left w:val="none" w:sz="0" w:space="0" w:color="auto"/>
                        <w:bottom w:val="none" w:sz="0" w:space="0" w:color="auto"/>
                        <w:right w:val="none" w:sz="0" w:space="0" w:color="auto"/>
                      </w:divBdr>
                      <w:divsChild>
                        <w:div w:id="957684384">
                          <w:marLeft w:val="0"/>
                          <w:marRight w:val="0"/>
                          <w:marTop w:val="0"/>
                          <w:marBottom w:val="0"/>
                          <w:divBdr>
                            <w:top w:val="none" w:sz="0" w:space="0" w:color="auto"/>
                            <w:left w:val="none" w:sz="0" w:space="0" w:color="auto"/>
                            <w:bottom w:val="none" w:sz="0" w:space="0" w:color="auto"/>
                            <w:right w:val="none" w:sz="0" w:space="0" w:color="auto"/>
                          </w:divBdr>
                          <w:divsChild>
                            <w:div w:id="752551227">
                              <w:marLeft w:val="0"/>
                              <w:marRight w:val="0"/>
                              <w:marTop w:val="0"/>
                              <w:marBottom w:val="0"/>
                              <w:divBdr>
                                <w:top w:val="none" w:sz="0" w:space="0" w:color="auto"/>
                                <w:left w:val="none" w:sz="0" w:space="0" w:color="auto"/>
                                <w:bottom w:val="none" w:sz="0" w:space="0" w:color="auto"/>
                                <w:right w:val="none" w:sz="0" w:space="0" w:color="auto"/>
                              </w:divBdr>
                              <w:divsChild>
                                <w:div w:id="140721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4318999">
      <w:bodyDiv w:val="1"/>
      <w:marLeft w:val="0"/>
      <w:marRight w:val="0"/>
      <w:marTop w:val="0"/>
      <w:marBottom w:val="0"/>
      <w:divBdr>
        <w:top w:val="none" w:sz="0" w:space="0" w:color="auto"/>
        <w:left w:val="none" w:sz="0" w:space="0" w:color="auto"/>
        <w:bottom w:val="none" w:sz="0" w:space="0" w:color="auto"/>
        <w:right w:val="none" w:sz="0" w:space="0" w:color="auto"/>
      </w:divBdr>
    </w:div>
    <w:div w:id="1948346492">
      <w:bodyDiv w:val="1"/>
      <w:marLeft w:val="0"/>
      <w:marRight w:val="0"/>
      <w:marTop w:val="0"/>
      <w:marBottom w:val="0"/>
      <w:divBdr>
        <w:top w:val="none" w:sz="0" w:space="0" w:color="auto"/>
        <w:left w:val="none" w:sz="0" w:space="0" w:color="auto"/>
        <w:bottom w:val="none" w:sz="0" w:space="0" w:color="auto"/>
        <w:right w:val="none" w:sz="0" w:space="0" w:color="auto"/>
      </w:divBdr>
    </w:div>
    <w:div w:id="1953975415">
      <w:bodyDiv w:val="1"/>
      <w:marLeft w:val="0"/>
      <w:marRight w:val="0"/>
      <w:marTop w:val="0"/>
      <w:marBottom w:val="0"/>
      <w:divBdr>
        <w:top w:val="none" w:sz="0" w:space="0" w:color="auto"/>
        <w:left w:val="none" w:sz="0" w:space="0" w:color="auto"/>
        <w:bottom w:val="none" w:sz="0" w:space="0" w:color="auto"/>
        <w:right w:val="none" w:sz="0" w:space="0" w:color="auto"/>
      </w:divBdr>
    </w:div>
    <w:div w:id="1957058678">
      <w:bodyDiv w:val="1"/>
      <w:marLeft w:val="0"/>
      <w:marRight w:val="0"/>
      <w:marTop w:val="0"/>
      <w:marBottom w:val="0"/>
      <w:divBdr>
        <w:top w:val="none" w:sz="0" w:space="0" w:color="auto"/>
        <w:left w:val="none" w:sz="0" w:space="0" w:color="auto"/>
        <w:bottom w:val="none" w:sz="0" w:space="0" w:color="auto"/>
        <w:right w:val="none" w:sz="0" w:space="0" w:color="auto"/>
      </w:divBdr>
    </w:div>
    <w:div w:id="1957172274">
      <w:bodyDiv w:val="1"/>
      <w:marLeft w:val="0"/>
      <w:marRight w:val="0"/>
      <w:marTop w:val="0"/>
      <w:marBottom w:val="0"/>
      <w:divBdr>
        <w:top w:val="none" w:sz="0" w:space="0" w:color="auto"/>
        <w:left w:val="none" w:sz="0" w:space="0" w:color="auto"/>
        <w:bottom w:val="none" w:sz="0" w:space="0" w:color="auto"/>
        <w:right w:val="none" w:sz="0" w:space="0" w:color="auto"/>
      </w:divBdr>
    </w:div>
    <w:div w:id="1983340797">
      <w:bodyDiv w:val="1"/>
      <w:marLeft w:val="0"/>
      <w:marRight w:val="0"/>
      <w:marTop w:val="0"/>
      <w:marBottom w:val="0"/>
      <w:divBdr>
        <w:top w:val="none" w:sz="0" w:space="0" w:color="auto"/>
        <w:left w:val="none" w:sz="0" w:space="0" w:color="auto"/>
        <w:bottom w:val="none" w:sz="0" w:space="0" w:color="auto"/>
        <w:right w:val="none" w:sz="0" w:space="0" w:color="auto"/>
      </w:divBdr>
    </w:div>
    <w:div w:id="1989742231">
      <w:bodyDiv w:val="1"/>
      <w:marLeft w:val="0"/>
      <w:marRight w:val="0"/>
      <w:marTop w:val="0"/>
      <w:marBottom w:val="0"/>
      <w:divBdr>
        <w:top w:val="none" w:sz="0" w:space="0" w:color="auto"/>
        <w:left w:val="none" w:sz="0" w:space="0" w:color="auto"/>
        <w:bottom w:val="none" w:sz="0" w:space="0" w:color="auto"/>
        <w:right w:val="none" w:sz="0" w:space="0" w:color="auto"/>
      </w:divBdr>
    </w:div>
    <w:div w:id="1996832092">
      <w:bodyDiv w:val="1"/>
      <w:marLeft w:val="0"/>
      <w:marRight w:val="0"/>
      <w:marTop w:val="0"/>
      <w:marBottom w:val="0"/>
      <w:divBdr>
        <w:top w:val="none" w:sz="0" w:space="0" w:color="auto"/>
        <w:left w:val="none" w:sz="0" w:space="0" w:color="auto"/>
        <w:bottom w:val="none" w:sz="0" w:space="0" w:color="auto"/>
        <w:right w:val="none" w:sz="0" w:space="0" w:color="auto"/>
      </w:divBdr>
    </w:div>
    <w:div w:id="2018605796">
      <w:bodyDiv w:val="1"/>
      <w:marLeft w:val="0"/>
      <w:marRight w:val="0"/>
      <w:marTop w:val="0"/>
      <w:marBottom w:val="0"/>
      <w:divBdr>
        <w:top w:val="none" w:sz="0" w:space="0" w:color="auto"/>
        <w:left w:val="none" w:sz="0" w:space="0" w:color="auto"/>
        <w:bottom w:val="none" w:sz="0" w:space="0" w:color="auto"/>
        <w:right w:val="none" w:sz="0" w:space="0" w:color="auto"/>
      </w:divBdr>
    </w:div>
    <w:div w:id="2019427667">
      <w:bodyDiv w:val="1"/>
      <w:marLeft w:val="0"/>
      <w:marRight w:val="0"/>
      <w:marTop w:val="0"/>
      <w:marBottom w:val="0"/>
      <w:divBdr>
        <w:top w:val="none" w:sz="0" w:space="0" w:color="auto"/>
        <w:left w:val="none" w:sz="0" w:space="0" w:color="auto"/>
        <w:bottom w:val="none" w:sz="0" w:space="0" w:color="auto"/>
        <w:right w:val="none" w:sz="0" w:space="0" w:color="auto"/>
      </w:divBdr>
    </w:div>
    <w:div w:id="2031031975">
      <w:bodyDiv w:val="1"/>
      <w:marLeft w:val="0"/>
      <w:marRight w:val="0"/>
      <w:marTop w:val="0"/>
      <w:marBottom w:val="0"/>
      <w:divBdr>
        <w:top w:val="none" w:sz="0" w:space="0" w:color="auto"/>
        <w:left w:val="none" w:sz="0" w:space="0" w:color="auto"/>
        <w:bottom w:val="none" w:sz="0" w:space="0" w:color="auto"/>
        <w:right w:val="none" w:sz="0" w:space="0" w:color="auto"/>
      </w:divBdr>
    </w:div>
    <w:div w:id="2047178106">
      <w:bodyDiv w:val="1"/>
      <w:marLeft w:val="0"/>
      <w:marRight w:val="0"/>
      <w:marTop w:val="0"/>
      <w:marBottom w:val="0"/>
      <w:divBdr>
        <w:top w:val="none" w:sz="0" w:space="0" w:color="auto"/>
        <w:left w:val="none" w:sz="0" w:space="0" w:color="auto"/>
        <w:bottom w:val="none" w:sz="0" w:space="0" w:color="auto"/>
        <w:right w:val="none" w:sz="0" w:space="0" w:color="auto"/>
      </w:divBdr>
    </w:div>
    <w:div w:id="2049916965">
      <w:bodyDiv w:val="1"/>
      <w:marLeft w:val="0"/>
      <w:marRight w:val="0"/>
      <w:marTop w:val="0"/>
      <w:marBottom w:val="0"/>
      <w:divBdr>
        <w:top w:val="none" w:sz="0" w:space="0" w:color="auto"/>
        <w:left w:val="none" w:sz="0" w:space="0" w:color="auto"/>
        <w:bottom w:val="none" w:sz="0" w:space="0" w:color="auto"/>
        <w:right w:val="none" w:sz="0" w:space="0" w:color="auto"/>
      </w:divBdr>
    </w:div>
    <w:div w:id="2049986506">
      <w:bodyDiv w:val="1"/>
      <w:marLeft w:val="0"/>
      <w:marRight w:val="0"/>
      <w:marTop w:val="0"/>
      <w:marBottom w:val="0"/>
      <w:divBdr>
        <w:top w:val="none" w:sz="0" w:space="0" w:color="auto"/>
        <w:left w:val="none" w:sz="0" w:space="0" w:color="auto"/>
        <w:bottom w:val="none" w:sz="0" w:space="0" w:color="auto"/>
        <w:right w:val="none" w:sz="0" w:space="0" w:color="auto"/>
      </w:divBdr>
    </w:div>
    <w:div w:id="2050294544">
      <w:bodyDiv w:val="1"/>
      <w:marLeft w:val="0"/>
      <w:marRight w:val="0"/>
      <w:marTop w:val="0"/>
      <w:marBottom w:val="0"/>
      <w:divBdr>
        <w:top w:val="none" w:sz="0" w:space="0" w:color="auto"/>
        <w:left w:val="none" w:sz="0" w:space="0" w:color="auto"/>
        <w:bottom w:val="none" w:sz="0" w:space="0" w:color="auto"/>
        <w:right w:val="none" w:sz="0" w:space="0" w:color="auto"/>
      </w:divBdr>
    </w:div>
    <w:div w:id="2080982397">
      <w:bodyDiv w:val="1"/>
      <w:marLeft w:val="0"/>
      <w:marRight w:val="0"/>
      <w:marTop w:val="0"/>
      <w:marBottom w:val="0"/>
      <w:divBdr>
        <w:top w:val="none" w:sz="0" w:space="0" w:color="auto"/>
        <w:left w:val="none" w:sz="0" w:space="0" w:color="auto"/>
        <w:bottom w:val="none" w:sz="0" w:space="0" w:color="auto"/>
        <w:right w:val="none" w:sz="0" w:space="0" w:color="auto"/>
      </w:divBdr>
    </w:div>
    <w:div w:id="2083410354">
      <w:bodyDiv w:val="1"/>
      <w:marLeft w:val="0"/>
      <w:marRight w:val="0"/>
      <w:marTop w:val="0"/>
      <w:marBottom w:val="0"/>
      <w:divBdr>
        <w:top w:val="none" w:sz="0" w:space="0" w:color="auto"/>
        <w:left w:val="none" w:sz="0" w:space="0" w:color="auto"/>
        <w:bottom w:val="none" w:sz="0" w:space="0" w:color="auto"/>
        <w:right w:val="none" w:sz="0" w:space="0" w:color="auto"/>
      </w:divBdr>
    </w:div>
    <w:div w:id="2090106780">
      <w:bodyDiv w:val="1"/>
      <w:marLeft w:val="0"/>
      <w:marRight w:val="0"/>
      <w:marTop w:val="0"/>
      <w:marBottom w:val="0"/>
      <w:divBdr>
        <w:top w:val="none" w:sz="0" w:space="0" w:color="auto"/>
        <w:left w:val="none" w:sz="0" w:space="0" w:color="auto"/>
        <w:bottom w:val="none" w:sz="0" w:space="0" w:color="auto"/>
        <w:right w:val="none" w:sz="0" w:space="0" w:color="auto"/>
      </w:divBdr>
    </w:div>
    <w:div w:id="2092196111">
      <w:bodyDiv w:val="1"/>
      <w:marLeft w:val="0"/>
      <w:marRight w:val="0"/>
      <w:marTop w:val="0"/>
      <w:marBottom w:val="0"/>
      <w:divBdr>
        <w:top w:val="none" w:sz="0" w:space="0" w:color="auto"/>
        <w:left w:val="none" w:sz="0" w:space="0" w:color="auto"/>
        <w:bottom w:val="none" w:sz="0" w:space="0" w:color="auto"/>
        <w:right w:val="none" w:sz="0" w:space="0" w:color="auto"/>
      </w:divBdr>
    </w:div>
    <w:div w:id="2093966508">
      <w:bodyDiv w:val="1"/>
      <w:marLeft w:val="0"/>
      <w:marRight w:val="0"/>
      <w:marTop w:val="0"/>
      <w:marBottom w:val="0"/>
      <w:divBdr>
        <w:top w:val="none" w:sz="0" w:space="0" w:color="auto"/>
        <w:left w:val="none" w:sz="0" w:space="0" w:color="auto"/>
        <w:bottom w:val="none" w:sz="0" w:space="0" w:color="auto"/>
        <w:right w:val="none" w:sz="0" w:space="0" w:color="auto"/>
      </w:divBdr>
    </w:div>
    <w:div w:id="2095541002">
      <w:bodyDiv w:val="1"/>
      <w:marLeft w:val="0"/>
      <w:marRight w:val="0"/>
      <w:marTop w:val="0"/>
      <w:marBottom w:val="0"/>
      <w:divBdr>
        <w:top w:val="none" w:sz="0" w:space="0" w:color="auto"/>
        <w:left w:val="none" w:sz="0" w:space="0" w:color="auto"/>
        <w:bottom w:val="none" w:sz="0" w:space="0" w:color="auto"/>
        <w:right w:val="none" w:sz="0" w:space="0" w:color="auto"/>
      </w:divBdr>
    </w:div>
    <w:div w:id="2100324848">
      <w:bodyDiv w:val="1"/>
      <w:marLeft w:val="0"/>
      <w:marRight w:val="0"/>
      <w:marTop w:val="0"/>
      <w:marBottom w:val="0"/>
      <w:divBdr>
        <w:top w:val="none" w:sz="0" w:space="0" w:color="auto"/>
        <w:left w:val="none" w:sz="0" w:space="0" w:color="auto"/>
        <w:bottom w:val="none" w:sz="0" w:space="0" w:color="auto"/>
        <w:right w:val="none" w:sz="0" w:space="0" w:color="auto"/>
      </w:divBdr>
    </w:div>
    <w:div w:id="2109933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4.png"/><Relationship Id="rId39" Type="http://schemas.openxmlformats.org/officeDocument/2006/relationships/image" Target="media/image14.emf"/><Relationship Id="rId21" Type="http://schemas.openxmlformats.org/officeDocument/2006/relationships/header" Target="header6.xm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footer" Target="footer14.xml"/><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emf"/><Relationship Id="rId76" Type="http://schemas.openxmlformats.org/officeDocument/2006/relationships/image" Target="media/image48.png"/><Relationship Id="rId84" Type="http://schemas.openxmlformats.org/officeDocument/2006/relationships/footer" Target="footer15.xml"/><Relationship Id="rId7" Type="http://schemas.openxmlformats.org/officeDocument/2006/relationships/endnotes" Target="end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6.emf"/><Relationship Id="rId11" Type="http://schemas.openxmlformats.org/officeDocument/2006/relationships/footer" Target="footer2.xml"/><Relationship Id="rId24" Type="http://schemas.openxmlformats.org/officeDocument/2006/relationships/image" Target="media/image2.emf"/><Relationship Id="rId32" Type="http://schemas.openxmlformats.org/officeDocument/2006/relationships/image" Target="media/image7.emf"/><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png"/><Relationship Id="rId79"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image" Target="media/image54.png"/><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oter" Target="footer8.xml"/><Relationship Id="rId27" Type="http://schemas.openxmlformats.org/officeDocument/2006/relationships/image" Target="media/image5.emf"/><Relationship Id="rId30" Type="http://schemas.openxmlformats.org/officeDocument/2006/relationships/footer" Target="footer11.xml"/><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3.emf"/><Relationship Id="rId56" Type="http://schemas.openxmlformats.org/officeDocument/2006/relationships/image" Target="media/image29.png"/><Relationship Id="rId64" Type="http://schemas.openxmlformats.org/officeDocument/2006/relationships/image" Target="media/image37.emf"/><Relationship Id="rId69" Type="http://schemas.openxmlformats.org/officeDocument/2006/relationships/image" Target="media/image42.emf"/><Relationship Id="rId77" Type="http://schemas.openxmlformats.org/officeDocument/2006/relationships/image" Target="media/image49.emf"/><Relationship Id="rId8" Type="http://schemas.openxmlformats.org/officeDocument/2006/relationships/header" Target="header1.xml"/><Relationship Id="rId51" Type="http://schemas.openxmlformats.org/officeDocument/2006/relationships/image" Target="media/image24.emf"/><Relationship Id="rId72" Type="http://schemas.openxmlformats.org/officeDocument/2006/relationships/image" Target="media/image45.emf"/><Relationship Id="rId80" Type="http://schemas.openxmlformats.org/officeDocument/2006/relationships/image" Target="media/image52.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3.pn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2.emf"/><Relationship Id="rId67" Type="http://schemas.openxmlformats.org/officeDocument/2006/relationships/image" Target="media/image40.emf"/><Relationship Id="rId20" Type="http://schemas.openxmlformats.org/officeDocument/2006/relationships/image" Target="media/image1.emf"/><Relationship Id="rId41" Type="http://schemas.openxmlformats.org/officeDocument/2006/relationships/image" Target="media/image16.png"/><Relationship Id="rId54" Type="http://schemas.openxmlformats.org/officeDocument/2006/relationships/image" Target="media/image27.png"/><Relationship Id="rId62" Type="http://schemas.openxmlformats.org/officeDocument/2006/relationships/image" Target="media/image35.emf"/><Relationship Id="rId70" Type="http://schemas.openxmlformats.org/officeDocument/2006/relationships/image" Target="media/image43.png"/><Relationship Id="rId75" Type="http://schemas.openxmlformats.org/officeDocument/2006/relationships/image" Target="media/image47.emf"/><Relationship Id="rId83"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footer" Target="footer9.xml"/><Relationship Id="rId28" Type="http://schemas.openxmlformats.org/officeDocument/2006/relationships/footer" Target="footer10.xml"/><Relationship Id="rId36" Type="http://schemas.openxmlformats.org/officeDocument/2006/relationships/image" Target="media/image11.emf"/><Relationship Id="rId49" Type="http://schemas.openxmlformats.org/officeDocument/2006/relationships/footer" Target="footer13.xml"/><Relationship Id="rId57" Type="http://schemas.openxmlformats.org/officeDocument/2006/relationships/image" Target="media/image30.png"/><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chart" Target="charts/chart1.xml"/><Relationship Id="rId78" Type="http://schemas.openxmlformats.org/officeDocument/2006/relationships/image" Target="media/image50.emf"/><Relationship Id="rId81" Type="http://schemas.openxmlformats.org/officeDocument/2006/relationships/image" Target="media/image53.png"/><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rad.mfcr.cz\NS1\odbory\Odbor11\Odd111\v&#353;ichni\2024\09%20SR%202025%20srpen\03%20dokumentace%202025\tab%20do%20KOM%20SR%2025%20srpe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29712301587302"/>
          <c:y val="3.8757985440499181E-2"/>
          <c:w val="0.8436400462962963"/>
          <c:h val="0.77420120833952355"/>
        </c:manualLayout>
      </c:layout>
      <c:lineChart>
        <c:grouping val="standard"/>
        <c:varyColors val="0"/>
        <c:ser>
          <c:idx val="0"/>
          <c:order val="0"/>
          <c:tx>
            <c:strRef>
              <c:f>'T a G SD na HDP'!$C$18</c:f>
              <c:strCache>
                <c:ptCount val="1"/>
                <c:pt idx="0">
                  <c:v>státní dluh na konci roku (v mld. Kč)</c:v>
                </c:pt>
              </c:strCache>
            </c:strRef>
          </c:tx>
          <c:spPr>
            <a:ln w="28575" cap="rnd">
              <a:solidFill>
                <a:schemeClr val="accent1"/>
              </a:solidFill>
              <a:round/>
            </a:ln>
            <a:effectLst/>
          </c:spPr>
          <c:marker>
            <c:symbol val="none"/>
          </c:marker>
          <c:cat>
            <c:strRef>
              <c:f>'T a G SD na HDP'!$D$17:$O$17</c:f>
              <c:strCache>
                <c:ptCount val="12"/>
                <c:pt idx="0">
                  <c:v>2014 
SK</c:v>
                </c:pt>
                <c:pt idx="1">
                  <c:v>2015 
SK</c:v>
                </c:pt>
                <c:pt idx="2">
                  <c:v>2016 
SK</c:v>
                </c:pt>
                <c:pt idx="3">
                  <c:v>2017 
SK</c:v>
                </c:pt>
                <c:pt idx="4">
                  <c:v>2018 
SK</c:v>
                </c:pt>
                <c:pt idx="5">
                  <c:v>2019 
SK</c:v>
                </c:pt>
                <c:pt idx="6">
                  <c:v>2020 
SK</c:v>
                </c:pt>
                <c:pt idx="7">
                  <c:v>2021 
SK</c:v>
                </c:pt>
                <c:pt idx="8">
                  <c:v>2022 
SK</c:v>
                </c:pt>
                <c:pt idx="9">
                  <c:v>2023 
SK</c:v>
                </c:pt>
                <c:pt idx="10">
                  <c:v>2024 SR</c:v>
                </c:pt>
                <c:pt idx="11">
                  <c:v>2025 návrh</c:v>
                </c:pt>
              </c:strCache>
            </c:strRef>
          </c:cat>
          <c:val>
            <c:numRef>
              <c:f>'T a G SD na HDP'!$D$18:$O$18</c:f>
              <c:numCache>
                <c:formatCode>#\ ##0.0</c:formatCode>
                <c:ptCount val="12"/>
                <c:pt idx="0">
                  <c:v>1663.7</c:v>
                </c:pt>
                <c:pt idx="1">
                  <c:v>1673</c:v>
                </c:pt>
                <c:pt idx="2">
                  <c:v>1613.4</c:v>
                </c:pt>
                <c:pt idx="3">
                  <c:v>1624.7</c:v>
                </c:pt>
                <c:pt idx="4">
                  <c:v>1622</c:v>
                </c:pt>
                <c:pt idx="5">
                  <c:v>1640.2</c:v>
                </c:pt>
                <c:pt idx="6">
                  <c:v>2049.6999999999998</c:v>
                </c:pt>
                <c:pt idx="7">
                  <c:v>2465.6999999999998</c:v>
                </c:pt>
                <c:pt idx="8">
                  <c:v>2894.8</c:v>
                </c:pt>
                <c:pt idx="9">
                  <c:v>3110.9</c:v>
                </c:pt>
                <c:pt idx="10">
                  <c:v>3367.3</c:v>
                </c:pt>
                <c:pt idx="11">
                  <c:v>3604.7</c:v>
                </c:pt>
              </c:numCache>
            </c:numRef>
          </c:val>
          <c:smooth val="0"/>
          <c:extLst>
            <c:ext xmlns:c16="http://schemas.microsoft.com/office/drawing/2014/chart" uri="{C3380CC4-5D6E-409C-BE32-E72D297353CC}">
              <c16:uniqueId val="{00000000-0EB4-451B-ADF8-D067A9A3BCBB}"/>
            </c:ext>
          </c:extLst>
        </c:ser>
        <c:dLbls>
          <c:showLegendKey val="0"/>
          <c:showVal val="0"/>
          <c:showCatName val="0"/>
          <c:showSerName val="0"/>
          <c:showPercent val="0"/>
          <c:showBubbleSize val="0"/>
        </c:dLbls>
        <c:marker val="1"/>
        <c:smooth val="0"/>
        <c:axId val="690654816"/>
        <c:axId val="690655144"/>
      </c:lineChart>
      <c:lineChart>
        <c:grouping val="standard"/>
        <c:varyColors val="0"/>
        <c:ser>
          <c:idx val="1"/>
          <c:order val="1"/>
          <c:tx>
            <c:strRef>
              <c:f>'T a G SD na HDP'!$C$19</c:f>
              <c:strCache>
                <c:ptCount val="1"/>
                <c:pt idx="0">
                  <c:v>podíl státního dluhu na HDP (v %)</c:v>
                </c:pt>
              </c:strCache>
            </c:strRef>
          </c:tx>
          <c:spPr>
            <a:ln w="28575" cap="rnd">
              <a:solidFill>
                <a:srgbClr val="FF0000"/>
              </a:solidFill>
              <a:prstDash val="sysDot"/>
              <a:round/>
            </a:ln>
            <a:effectLst/>
          </c:spPr>
          <c:marker>
            <c:symbol val="none"/>
          </c:marker>
          <c:cat>
            <c:strRef>
              <c:f>'T a G SD na HDP'!$D$17:$O$17</c:f>
              <c:strCache>
                <c:ptCount val="12"/>
                <c:pt idx="0">
                  <c:v>2014 
SK</c:v>
                </c:pt>
                <c:pt idx="1">
                  <c:v>2015 
SK</c:v>
                </c:pt>
                <c:pt idx="2">
                  <c:v>2016 
SK</c:v>
                </c:pt>
                <c:pt idx="3">
                  <c:v>2017 
SK</c:v>
                </c:pt>
                <c:pt idx="4">
                  <c:v>2018 
SK</c:v>
                </c:pt>
                <c:pt idx="5">
                  <c:v>2019 
SK</c:v>
                </c:pt>
                <c:pt idx="6">
                  <c:v>2020 
SK</c:v>
                </c:pt>
                <c:pt idx="7">
                  <c:v>2021 
SK</c:v>
                </c:pt>
                <c:pt idx="8">
                  <c:v>2022 
SK</c:v>
                </c:pt>
                <c:pt idx="9">
                  <c:v>2023 
SK</c:v>
                </c:pt>
                <c:pt idx="10">
                  <c:v>2024 SR</c:v>
                </c:pt>
                <c:pt idx="11">
                  <c:v>2025 návrh</c:v>
                </c:pt>
              </c:strCache>
            </c:strRef>
          </c:cat>
          <c:val>
            <c:numRef>
              <c:f>'T a G SD na HDP'!$D$19:$O$19</c:f>
              <c:numCache>
                <c:formatCode>General</c:formatCode>
                <c:ptCount val="12"/>
                <c:pt idx="0">
                  <c:v>38</c:v>
                </c:pt>
                <c:pt idx="1">
                  <c:v>36</c:v>
                </c:pt>
                <c:pt idx="2">
                  <c:v>33.299999999999997</c:v>
                </c:pt>
                <c:pt idx="3">
                  <c:v>31.4</c:v>
                </c:pt>
                <c:pt idx="4">
                  <c:v>29.6</c:v>
                </c:pt>
                <c:pt idx="5">
                  <c:v>27.9</c:v>
                </c:pt>
                <c:pt idx="6">
                  <c:v>35.200000000000003</c:v>
                </c:pt>
                <c:pt idx="7">
                  <c:v>39.1</c:v>
                </c:pt>
                <c:pt idx="8">
                  <c:v>41.1</c:v>
                </c:pt>
                <c:pt idx="9">
                  <c:v>40.799999999999997</c:v>
                </c:pt>
                <c:pt idx="10" formatCode="#\ ##0.0">
                  <c:v>42.3</c:v>
                </c:pt>
                <c:pt idx="11" formatCode="#\ ##0.0">
                  <c:v>42.9</c:v>
                </c:pt>
              </c:numCache>
            </c:numRef>
          </c:val>
          <c:smooth val="0"/>
          <c:extLst>
            <c:ext xmlns:c16="http://schemas.microsoft.com/office/drawing/2014/chart" uri="{C3380CC4-5D6E-409C-BE32-E72D297353CC}">
              <c16:uniqueId val="{00000001-0EB4-451B-ADF8-D067A9A3BCBB}"/>
            </c:ext>
          </c:extLst>
        </c:ser>
        <c:dLbls>
          <c:showLegendKey val="0"/>
          <c:showVal val="0"/>
          <c:showCatName val="0"/>
          <c:showSerName val="0"/>
          <c:showPercent val="0"/>
          <c:showBubbleSize val="0"/>
        </c:dLbls>
        <c:marker val="1"/>
        <c:smooth val="0"/>
        <c:axId val="690651864"/>
        <c:axId val="690651536"/>
      </c:lineChart>
      <c:catAx>
        <c:axId val="690654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90655144"/>
        <c:crosses val="autoZero"/>
        <c:auto val="1"/>
        <c:lblAlgn val="ctr"/>
        <c:lblOffset val="100"/>
        <c:noMultiLvlLbl val="0"/>
      </c:catAx>
      <c:valAx>
        <c:axId val="690655144"/>
        <c:scaling>
          <c:orientation val="minMax"/>
          <c:max val="4500"/>
        </c:scaling>
        <c:delete val="0"/>
        <c:axPos val="l"/>
        <c:majorGridlines>
          <c:spPr>
            <a:ln w="9525" cap="flat" cmpd="sng" algn="ctr">
              <a:solidFill>
                <a:schemeClr val="tx1">
                  <a:lumMod val="15000"/>
                  <a:lumOff val="85000"/>
                </a:schemeClr>
              </a:solidFill>
              <a:round/>
              <a:headEnd w="sm" len="sm"/>
              <a:tailEnd w="sm" len="sm"/>
            </a:ln>
            <a:effectLst/>
          </c:spPr>
        </c:majorGridlines>
        <c:numFmt formatCode="#\ ##0" sourceLinked="0"/>
        <c:majorTickMark val="none"/>
        <c:minorTickMark val="none"/>
        <c:tickLblPos val="nextTo"/>
        <c:spPr>
          <a:noFill/>
          <a:ln w="12700">
            <a:solidFill>
              <a:schemeClr val="accent1"/>
            </a:solidFill>
            <a:miter lim="800000"/>
            <a:headEnd type="none"/>
            <a:tailEnd w="med" len="lg"/>
          </a:ln>
          <a:effectLst/>
        </c:spPr>
        <c:txPr>
          <a:bodyPr rot="-60000000" spcFirstLastPara="1" vertOverflow="ellipsis" vert="horz" wrap="square" anchor="ctr" anchorCtr="1"/>
          <a:lstStyle/>
          <a:p>
            <a:pPr>
              <a:defRPr sz="1200" b="1" i="0" u="none" strike="noStrike" kern="1200" baseline="0">
                <a:solidFill>
                  <a:schemeClr val="accent1">
                    <a:lumMod val="75000"/>
                  </a:schemeClr>
                </a:solidFill>
                <a:latin typeface="+mn-lt"/>
                <a:ea typeface="+mn-ea"/>
                <a:cs typeface="+mn-cs"/>
              </a:defRPr>
            </a:pPr>
            <a:endParaRPr lang="cs-CZ"/>
          </a:p>
        </c:txPr>
        <c:crossAx val="690654816"/>
        <c:crosses val="autoZero"/>
        <c:crossBetween val="between"/>
      </c:valAx>
      <c:valAx>
        <c:axId val="690651536"/>
        <c:scaling>
          <c:orientation val="minMax"/>
          <c:max val="55"/>
          <c:min val="10"/>
        </c:scaling>
        <c:delete val="0"/>
        <c:axPos val="r"/>
        <c:numFmt formatCode="General" sourceLinked="1"/>
        <c:majorTickMark val="out"/>
        <c:minorTickMark val="none"/>
        <c:tickLblPos val="nextTo"/>
        <c:spPr>
          <a:noFill/>
          <a:ln>
            <a:solidFill>
              <a:srgbClr val="C00000"/>
            </a:solidFill>
          </a:ln>
          <a:effectLst/>
        </c:spPr>
        <c:txPr>
          <a:bodyPr rot="-60000000" spcFirstLastPara="1" vertOverflow="ellipsis" vert="horz" wrap="square" anchor="ctr" anchorCtr="1"/>
          <a:lstStyle/>
          <a:p>
            <a:pPr>
              <a:defRPr sz="1200" b="1" i="0" u="none" strike="noStrike" kern="1200" baseline="0">
                <a:solidFill>
                  <a:srgbClr val="C00000"/>
                </a:solidFill>
                <a:latin typeface="+mn-lt"/>
                <a:ea typeface="+mn-ea"/>
                <a:cs typeface="+mn-cs"/>
              </a:defRPr>
            </a:pPr>
            <a:endParaRPr lang="cs-CZ"/>
          </a:p>
        </c:txPr>
        <c:crossAx val="690651864"/>
        <c:crosses val="max"/>
        <c:crossBetween val="between"/>
      </c:valAx>
      <c:catAx>
        <c:axId val="690651864"/>
        <c:scaling>
          <c:orientation val="minMax"/>
        </c:scaling>
        <c:delete val="1"/>
        <c:axPos val="b"/>
        <c:numFmt formatCode="General" sourceLinked="1"/>
        <c:majorTickMark val="out"/>
        <c:minorTickMark val="none"/>
        <c:tickLblPos val="nextTo"/>
        <c:crossAx val="690651536"/>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latin typeface="+mn-lt"/>
        </a:defRPr>
      </a:pPr>
      <a:endParaRPr lang="cs-CZ"/>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64C51-FFD3-4357-8836-EC16D2732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61</Pages>
  <Words>20056</Words>
  <Characters>118332</Characters>
  <Application>Microsoft Office Word</Application>
  <DocSecurity>0</DocSecurity>
  <Lines>986</Lines>
  <Paragraphs>276</Paragraphs>
  <ScaleCrop>false</ScaleCrop>
  <HeadingPairs>
    <vt:vector size="2" baseType="variant">
      <vt:variant>
        <vt:lpstr>Název</vt:lpstr>
      </vt:variant>
      <vt:variant>
        <vt:i4>1</vt:i4>
      </vt:variant>
    </vt:vector>
  </HeadingPairs>
  <TitlesOfParts>
    <vt:vector size="1" baseType="lpstr">
      <vt:lpstr>Fiskální výhled České republiky (listopad 2018)</vt:lpstr>
    </vt:vector>
  </TitlesOfParts>
  <Company>Ministerstvo financí</Company>
  <LinksUpToDate>false</LinksUpToDate>
  <CharactersWithSpaces>138112</CharactersWithSpaces>
  <SharedDoc>false</SharedDoc>
  <HLinks>
    <vt:vector size="702" baseType="variant">
      <vt:variant>
        <vt:i4>1572913</vt:i4>
      </vt:variant>
      <vt:variant>
        <vt:i4>704</vt:i4>
      </vt:variant>
      <vt:variant>
        <vt:i4>0</vt:i4>
      </vt:variant>
      <vt:variant>
        <vt:i4>5</vt:i4>
      </vt:variant>
      <vt:variant>
        <vt:lpwstr/>
      </vt:variant>
      <vt:variant>
        <vt:lpwstr>_Toc175828786</vt:lpwstr>
      </vt:variant>
      <vt:variant>
        <vt:i4>1572913</vt:i4>
      </vt:variant>
      <vt:variant>
        <vt:i4>698</vt:i4>
      </vt:variant>
      <vt:variant>
        <vt:i4>0</vt:i4>
      </vt:variant>
      <vt:variant>
        <vt:i4>5</vt:i4>
      </vt:variant>
      <vt:variant>
        <vt:lpwstr/>
      </vt:variant>
      <vt:variant>
        <vt:lpwstr>_Toc175828785</vt:lpwstr>
      </vt:variant>
      <vt:variant>
        <vt:i4>1572913</vt:i4>
      </vt:variant>
      <vt:variant>
        <vt:i4>692</vt:i4>
      </vt:variant>
      <vt:variant>
        <vt:i4>0</vt:i4>
      </vt:variant>
      <vt:variant>
        <vt:i4>5</vt:i4>
      </vt:variant>
      <vt:variant>
        <vt:lpwstr/>
      </vt:variant>
      <vt:variant>
        <vt:lpwstr>_Toc175828784</vt:lpwstr>
      </vt:variant>
      <vt:variant>
        <vt:i4>1572913</vt:i4>
      </vt:variant>
      <vt:variant>
        <vt:i4>686</vt:i4>
      </vt:variant>
      <vt:variant>
        <vt:i4>0</vt:i4>
      </vt:variant>
      <vt:variant>
        <vt:i4>5</vt:i4>
      </vt:variant>
      <vt:variant>
        <vt:lpwstr/>
      </vt:variant>
      <vt:variant>
        <vt:lpwstr>_Toc175828783</vt:lpwstr>
      </vt:variant>
      <vt:variant>
        <vt:i4>1572913</vt:i4>
      </vt:variant>
      <vt:variant>
        <vt:i4>680</vt:i4>
      </vt:variant>
      <vt:variant>
        <vt:i4>0</vt:i4>
      </vt:variant>
      <vt:variant>
        <vt:i4>5</vt:i4>
      </vt:variant>
      <vt:variant>
        <vt:lpwstr/>
      </vt:variant>
      <vt:variant>
        <vt:lpwstr>_Toc175828782</vt:lpwstr>
      </vt:variant>
      <vt:variant>
        <vt:i4>1572913</vt:i4>
      </vt:variant>
      <vt:variant>
        <vt:i4>674</vt:i4>
      </vt:variant>
      <vt:variant>
        <vt:i4>0</vt:i4>
      </vt:variant>
      <vt:variant>
        <vt:i4>5</vt:i4>
      </vt:variant>
      <vt:variant>
        <vt:lpwstr/>
      </vt:variant>
      <vt:variant>
        <vt:lpwstr>_Toc175828781</vt:lpwstr>
      </vt:variant>
      <vt:variant>
        <vt:i4>1572913</vt:i4>
      </vt:variant>
      <vt:variant>
        <vt:i4>668</vt:i4>
      </vt:variant>
      <vt:variant>
        <vt:i4>0</vt:i4>
      </vt:variant>
      <vt:variant>
        <vt:i4>5</vt:i4>
      </vt:variant>
      <vt:variant>
        <vt:lpwstr/>
      </vt:variant>
      <vt:variant>
        <vt:lpwstr>_Toc175828780</vt:lpwstr>
      </vt:variant>
      <vt:variant>
        <vt:i4>1507377</vt:i4>
      </vt:variant>
      <vt:variant>
        <vt:i4>662</vt:i4>
      </vt:variant>
      <vt:variant>
        <vt:i4>0</vt:i4>
      </vt:variant>
      <vt:variant>
        <vt:i4>5</vt:i4>
      </vt:variant>
      <vt:variant>
        <vt:lpwstr/>
      </vt:variant>
      <vt:variant>
        <vt:lpwstr>_Toc175828779</vt:lpwstr>
      </vt:variant>
      <vt:variant>
        <vt:i4>1507377</vt:i4>
      </vt:variant>
      <vt:variant>
        <vt:i4>656</vt:i4>
      </vt:variant>
      <vt:variant>
        <vt:i4>0</vt:i4>
      </vt:variant>
      <vt:variant>
        <vt:i4>5</vt:i4>
      </vt:variant>
      <vt:variant>
        <vt:lpwstr/>
      </vt:variant>
      <vt:variant>
        <vt:lpwstr>_Toc175828778</vt:lpwstr>
      </vt:variant>
      <vt:variant>
        <vt:i4>1507377</vt:i4>
      </vt:variant>
      <vt:variant>
        <vt:i4>650</vt:i4>
      </vt:variant>
      <vt:variant>
        <vt:i4>0</vt:i4>
      </vt:variant>
      <vt:variant>
        <vt:i4>5</vt:i4>
      </vt:variant>
      <vt:variant>
        <vt:lpwstr/>
      </vt:variant>
      <vt:variant>
        <vt:lpwstr>_Toc175828777</vt:lpwstr>
      </vt:variant>
      <vt:variant>
        <vt:i4>1507377</vt:i4>
      </vt:variant>
      <vt:variant>
        <vt:i4>644</vt:i4>
      </vt:variant>
      <vt:variant>
        <vt:i4>0</vt:i4>
      </vt:variant>
      <vt:variant>
        <vt:i4>5</vt:i4>
      </vt:variant>
      <vt:variant>
        <vt:lpwstr/>
      </vt:variant>
      <vt:variant>
        <vt:lpwstr>_Toc175828776</vt:lpwstr>
      </vt:variant>
      <vt:variant>
        <vt:i4>1507377</vt:i4>
      </vt:variant>
      <vt:variant>
        <vt:i4>638</vt:i4>
      </vt:variant>
      <vt:variant>
        <vt:i4>0</vt:i4>
      </vt:variant>
      <vt:variant>
        <vt:i4>5</vt:i4>
      </vt:variant>
      <vt:variant>
        <vt:lpwstr/>
      </vt:variant>
      <vt:variant>
        <vt:lpwstr>_Toc175828775</vt:lpwstr>
      </vt:variant>
      <vt:variant>
        <vt:i4>1507377</vt:i4>
      </vt:variant>
      <vt:variant>
        <vt:i4>632</vt:i4>
      </vt:variant>
      <vt:variant>
        <vt:i4>0</vt:i4>
      </vt:variant>
      <vt:variant>
        <vt:i4>5</vt:i4>
      </vt:variant>
      <vt:variant>
        <vt:lpwstr/>
      </vt:variant>
      <vt:variant>
        <vt:lpwstr>_Toc175828774</vt:lpwstr>
      </vt:variant>
      <vt:variant>
        <vt:i4>1507377</vt:i4>
      </vt:variant>
      <vt:variant>
        <vt:i4>626</vt:i4>
      </vt:variant>
      <vt:variant>
        <vt:i4>0</vt:i4>
      </vt:variant>
      <vt:variant>
        <vt:i4>5</vt:i4>
      </vt:variant>
      <vt:variant>
        <vt:lpwstr/>
      </vt:variant>
      <vt:variant>
        <vt:lpwstr>_Toc175828773</vt:lpwstr>
      </vt:variant>
      <vt:variant>
        <vt:i4>1507377</vt:i4>
      </vt:variant>
      <vt:variant>
        <vt:i4>620</vt:i4>
      </vt:variant>
      <vt:variant>
        <vt:i4>0</vt:i4>
      </vt:variant>
      <vt:variant>
        <vt:i4>5</vt:i4>
      </vt:variant>
      <vt:variant>
        <vt:lpwstr/>
      </vt:variant>
      <vt:variant>
        <vt:lpwstr>_Toc175828772</vt:lpwstr>
      </vt:variant>
      <vt:variant>
        <vt:i4>1507377</vt:i4>
      </vt:variant>
      <vt:variant>
        <vt:i4>614</vt:i4>
      </vt:variant>
      <vt:variant>
        <vt:i4>0</vt:i4>
      </vt:variant>
      <vt:variant>
        <vt:i4>5</vt:i4>
      </vt:variant>
      <vt:variant>
        <vt:lpwstr/>
      </vt:variant>
      <vt:variant>
        <vt:lpwstr>_Toc175828771</vt:lpwstr>
      </vt:variant>
      <vt:variant>
        <vt:i4>1507377</vt:i4>
      </vt:variant>
      <vt:variant>
        <vt:i4>608</vt:i4>
      </vt:variant>
      <vt:variant>
        <vt:i4>0</vt:i4>
      </vt:variant>
      <vt:variant>
        <vt:i4>5</vt:i4>
      </vt:variant>
      <vt:variant>
        <vt:lpwstr/>
      </vt:variant>
      <vt:variant>
        <vt:lpwstr>_Toc175828770</vt:lpwstr>
      </vt:variant>
      <vt:variant>
        <vt:i4>1441841</vt:i4>
      </vt:variant>
      <vt:variant>
        <vt:i4>602</vt:i4>
      </vt:variant>
      <vt:variant>
        <vt:i4>0</vt:i4>
      </vt:variant>
      <vt:variant>
        <vt:i4>5</vt:i4>
      </vt:variant>
      <vt:variant>
        <vt:lpwstr/>
      </vt:variant>
      <vt:variant>
        <vt:lpwstr>_Toc175828769</vt:lpwstr>
      </vt:variant>
      <vt:variant>
        <vt:i4>1441841</vt:i4>
      </vt:variant>
      <vt:variant>
        <vt:i4>596</vt:i4>
      </vt:variant>
      <vt:variant>
        <vt:i4>0</vt:i4>
      </vt:variant>
      <vt:variant>
        <vt:i4>5</vt:i4>
      </vt:variant>
      <vt:variant>
        <vt:lpwstr/>
      </vt:variant>
      <vt:variant>
        <vt:lpwstr>_Toc175828768</vt:lpwstr>
      </vt:variant>
      <vt:variant>
        <vt:i4>1441841</vt:i4>
      </vt:variant>
      <vt:variant>
        <vt:i4>590</vt:i4>
      </vt:variant>
      <vt:variant>
        <vt:i4>0</vt:i4>
      </vt:variant>
      <vt:variant>
        <vt:i4>5</vt:i4>
      </vt:variant>
      <vt:variant>
        <vt:lpwstr/>
      </vt:variant>
      <vt:variant>
        <vt:lpwstr>_Toc175828767</vt:lpwstr>
      </vt:variant>
      <vt:variant>
        <vt:i4>1441841</vt:i4>
      </vt:variant>
      <vt:variant>
        <vt:i4>584</vt:i4>
      </vt:variant>
      <vt:variant>
        <vt:i4>0</vt:i4>
      </vt:variant>
      <vt:variant>
        <vt:i4>5</vt:i4>
      </vt:variant>
      <vt:variant>
        <vt:lpwstr/>
      </vt:variant>
      <vt:variant>
        <vt:lpwstr>_Toc175828766</vt:lpwstr>
      </vt:variant>
      <vt:variant>
        <vt:i4>1441841</vt:i4>
      </vt:variant>
      <vt:variant>
        <vt:i4>578</vt:i4>
      </vt:variant>
      <vt:variant>
        <vt:i4>0</vt:i4>
      </vt:variant>
      <vt:variant>
        <vt:i4>5</vt:i4>
      </vt:variant>
      <vt:variant>
        <vt:lpwstr/>
      </vt:variant>
      <vt:variant>
        <vt:lpwstr>_Toc175828765</vt:lpwstr>
      </vt:variant>
      <vt:variant>
        <vt:i4>1441841</vt:i4>
      </vt:variant>
      <vt:variant>
        <vt:i4>572</vt:i4>
      </vt:variant>
      <vt:variant>
        <vt:i4>0</vt:i4>
      </vt:variant>
      <vt:variant>
        <vt:i4>5</vt:i4>
      </vt:variant>
      <vt:variant>
        <vt:lpwstr/>
      </vt:variant>
      <vt:variant>
        <vt:lpwstr>_Toc175828764</vt:lpwstr>
      </vt:variant>
      <vt:variant>
        <vt:i4>1441841</vt:i4>
      </vt:variant>
      <vt:variant>
        <vt:i4>563</vt:i4>
      </vt:variant>
      <vt:variant>
        <vt:i4>0</vt:i4>
      </vt:variant>
      <vt:variant>
        <vt:i4>5</vt:i4>
      </vt:variant>
      <vt:variant>
        <vt:lpwstr/>
      </vt:variant>
      <vt:variant>
        <vt:lpwstr>_Toc175828763</vt:lpwstr>
      </vt:variant>
      <vt:variant>
        <vt:i4>1441841</vt:i4>
      </vt:variant>
      <vt:variant>
        <vt:i4>557</vt:i4>
      </vt:variant>
      <vt:variant>
        <vt:i4>0</vt:i4>
      </vt:variant>
      <vt:variant>
        <vt:i4>5</vt:i4>
      </vt:variant>
      <vt:variant>
        <vt:lpwstr/>
      </vt:variant>
      <vt:variant>
        <vt:lpwstr>_Toc175828762</vt:lpwstr>
      </vt:variant>
      <vt:variant>
        <vt:i4>1441841</vt:i4>
      </vt:variant>
      <vt:variant>
        <vt:i4>551</vt:i4>
      </vt:variant>
      <vt:variant>
        <vt:i4>0</vt:i4>
      </vt:variant>
      <vt:variant>
        <vt:i4>5</vt:i4>
      </vt:variant>
      <vt:variant>
        <vt:lpwstr/>
      </vt:variant>
      <vt:variant>
        <vt:lpwstr>_Toc175828761</vt:lpwstr>
      </vt:variant>
      <vt:variant>
        <vt:i4>1441841</vt:i4>
      </vt:variant>
      <vt:variant>
        <vt:i4>545</vt:i4>
      </vt:variant>
      <vt:variant>
        <vt:i4>0</vt:i4>
      </vt:variant>
      <vt:variant>
        <vt:i4>5</vt:i4>
      </vt:variant>
      <vt:variant>
        <vt:lpwstr/>
      </vt:variant>
      <vt:variant>
        <vt:lpwstr>_Toc175828760</vt:lpwstr>
      </vt:variant>
      <vt:variant>
        <vt:i4>1376305</vt:i4>
      </vt:variant>
      <vt:variant>
        <vt:i4>539</vt:i4>
      </vt:variant>
      <vt:variant>
        <vt:i4>0</vt:i4>
      </vt:variant>
      <vt:variant>
        <vt:i4>5</vt:i4>
      </vt:variant>
      <vt:variant>
        <vt:lpwstr/>
      </vt:variant>
      <vt:variant>
        <vt:lpwstr>_Toc175828759</vt:lpwstr>
      </vt:variant>
      <vt:variant>
        <vt:i4>1376305</vt:i4>
      </vt:variant>
      <vt:variant>
        <vt:i4>533</vt:i4>
      </vt:variant>
      <vt:variant>
        <vt:i4>0</vt:i4>
      </vt:variant>
      <vt:variant>
        <vt:i4>5</vt:i4>
      </vt:variant>
      <vt:variant>
        <vt:lpwstr/>
      </vt:variant>
      <vt:variant>
        <vt:lpwstr>_Toc175828758</vt:lpwstr>
      </vt:variant>
      <vt:variant>
        <vt:i4>1376305</vt:i4>
      </vt:variant>
      <vt:variant>
        <vt:i4>527</vt:i4>
      </vt:variant>
      <vt:variant>
        <vt:i4>0</vt:i4>
      </vt:variant>
      <vt:variant>
        <vt:i4>5</vt:i4>
      </vt:variant>
      <vt:variant>
        <vt:lpwstr/>
      </vt:variant>
      <vt:variant>
        <vt:lpwstr>_Toc175828757</vt:lpwstr>
      </vt:variant>
      <vt:variant>
        <vt:i4>1376305</vt:i4>
      </vt:variant>
      <vt:variant>
        <vt:i4>521</vt:i4>
      </vt:variant>
      <vt:variant>
        <vt:i4>0</vt:i4>
      </vt:variant>
      <vt:variant>
        <vt:i4>5</vt:i4>
      </vt:variant>
      <vt:variant>
        <vt:lpwstr/>
      </vt:variant>
      <vt:variant>
        <vt:lpwstr>_Toc175828756</vt:lpwstr>
      </vt:variant>
      <vt:variant>
        <vt:i4>1376305</vt:i4>
      </vt:variant>
      <vt:variant>
        <vt:i4>515</vt:i4>
      </vt:variant>
      <vt:variant>
        <vt:i4>0</vt:i4>
      </vt:variant>
      <vt:variant>
        <vt:i4>5</vt:i4>
      </vt:variant>
      <vt:variant>
        <vt:lpwstr/>
      </vt:variant>
      <vt:variant>
        <vt:lpwstr>_Toc175828755</vt:lpwstr>
      </vt:variant>
      <vt:variant>
        <vt:i4>1376305</vt:i4>
      </vt:variant>
      <vt:variant>
        <vt:i4>509</vt:i4>
      </vt:variant>
      <vt:variant>
        <vt:i4>0</vt:i4>
      </vt:variant>
      <vt:variant>
        <vt:i4>5</vt:i4>
      </vt:variant>
      <vt:variant>
        <vt:lpwstr/>
      </vt:variant>
      <vt:variant>
        <vt:lpwstr>_Toc175828754</vt:lpwstr>
      </vt:variant>
      <vt:variant>
        <vt:i4>1376305</vt:i4>
      </vt:variant>
      <vt:variant>
        <vt:i4>503</vt:i4>
      </vt:variant>
      <vt:variant>
        <vt:i4>0</vt:i4>
      </vt:variant>
      <vt:variant>
        <vt:i4>5</vt:i4>
      </vt:variant>
      <vt:variant>
        <vt:lpwstr/>
      </vt:variant>
      <vt:variant>
        <vt:lpwstr>_Toc175828753</vt:lpwstr>
      </vt:variant>
      <vt:variant>
        <vt:i4>1376305</vt:i4>
      </vt:variant>
      <vt:variant>
        <vt:i4>497</vt:i4>
      </vt:variant>
      <vt:variant>
        <vt:i4>0</vt:i4>
      </vt:variant>
      <vt:variant>
        <vt:i4>5</vt:i4>
      </vt:variant>
      <vt:variant>
        <vt:lpwstr/>
      </vt:variant>
      <vt:variant>
        <vt:lpwstr>_Toc175828752</vt:lpwstr>
      </vt:variant>
      <vt:variant>
        <vt:i4>1376305</vt:i4>
      </vt:variant>
      <vt:variant>
        <vt:i4>491</vt:i4>
      </vt:variant>
      <vt:variant>
        <vt:i4>0</vt:i4>
      </vt:variant>
      <vt:variant>
        <vt:i4>5</vt:i4>
      </vt:variant>
      <vt:variant>
        <vt:lpwstr/>
      </vt:variant>
      <vt:variant>
        <vt:lpwstr>_Toc175828751</vt:lpwstr>
      </vt:variant>
      <vt:variant>
        <vt:i4>1376305</vt:i4>
      </vt:variant>
      <vt:variant>
        <vt:i4>485</vt:i4>
      </vt:variant>
      <vt:variant>
        <vt:i4>0</vt:i4>
      </vt:variant>
      <vt:variant>
        <vt:i4>5</vt:i4>
      </vt:variant>
      <vt:variant>
        <vt:lpwstr/>
      </vt:variant>
      <vt:variant>
        <vt:lpwstr>_Toc175828750</vt:lpwstr>
      </vt:variant>
      <vt:variant>
        <vt:i4>1310769</vt:i4>
      </vt:variant>
      <vt:variant>
        <vt:i4>479</vt:i4>
      </vt:variant>
      <vt:variant>
        <vt:i4>0</vt:i4>
      </vt:variant>
      <vt:variant>
        <vt:i4>5</vt:i4>
      </vt:variant>
      <vt:variant>
        <vt:lpwstr/>
      </vt:variant>
      <vt:variant>
        <vt:lpwstr>_Toc175828749</vt:lpwstr>
      </vt:variant>
      <vt:variant>
        <vt:i4>1310769</vt:i4>
      </vt:variant>
      <vt:variant>
        <vt:i4>473</vt:i4>
      </vt:variant>
      <vt:variant>
        <vt:i4>0</vt:i4>
      </vt:variant>
      <vt:variant>
        <vt:i4>5</vt:i4>
      </vt:variant>
      <vt:variant>
        <vt:lpwstr/>
      </vt:variant>
      <vt:variant>
        <vt:lpwstr>_Toc175828748</vt:lpwstr>
      </vt:variant>
      <vt:variant>
        <vt:i4>1310769</vt:i4>
      </vt:variant>
      <vt:variant>
        <vt:i4>467</vt:i4>
      </vt:variant>
      <vt:variant>
        <vt:i4>0</vt:i4>
      </vt:variant>
      <vt:variant>
        <vt:i4>5</vt:i4>
      </vt:variant>
      <vt:variant>
        <vt:lpwstr/>
      </vt:variant>
      <vt:variant>
        <vt:lpwstr>_Toc175828747</vt:lpwstr>
      </vt:variant>
      <vt:variant>
        <vt:i4>1310769</vt:i4>
      </vt:variant>
      <vt:variant>
        <vt:i4>461</vt:i4>
      </vt:variant>
      <vt:variant>
        <vt:i4>0</vt:i4>
      </vt:variant>
      <vt:variant>
        <vt:i4>5</vt:i4>
      </vt:variant>
      <vt:variant>
        <vt:lpwstr/>
      </vt:variant>
      <vt:variant>
        <vt:lpwstr>_Toc175828746</vt:lpwstr>
      </vt:variant>
      <vt:variant>
        <vt:i4>1310769</vt:i4>
      </vt:variant>
      <vt:variant>
        <vt:i4>455</vt:i4>
      </vt:variant>
      <vt:variant>
        <vt:i4>0</vt:i4>
      </vt:variant>
      <vt:variant>
        <vt:i4>5</vt:i4>
      </vt:variant>
      <vt:variant>
        <vt:lpwstr/>
      </vt:variant>
      <vt:variant>
        <vt:lpwstr>_Toc175828745</vt:lpwstr>
      </vt:variant>
      <vt:variant>
        <vt:i4>1310769</vt:i4>
      </vt:variant>
      <vt:variant>
        <vt:i4>449</vt:i4>
      </vt:variant>
      <vt:variant>
        <vt:i4>0</vt:i4>
      </vt:variant>
      <vt:variant>
        <vt:i4>5</vt:i4>
      </vt:variant>
      <vt:variant>
        <vt:lpwstr/>
      </vt:variant>
      <vt:variant>
        <vt:lpwstr>_Toc175828744</vt:lpwstr>
      </vt:variant>
      <vt:variant>
        <vt:i4>1310769</vt:i4>
      </vt:variant>
      <vt:variant>
        <vt:i4>443</vt:i4>
      </vt:variant>
      <vt:variant>
        <vt:i4>0</vt:i4>
      </vt:variant>
      <vt:variant>
        <vt:i4>5</vt:i4>
      </vt:variant>
      <vt:variant>
        <vt:lpwstr/>
      </vt:variant>
      <vt:variant>
        <vt:lpwstr>_Toc175828743</vt:lpwstr>
      </vt:variant>
      <vt:variant>
        <vt:i4>1310769</vt:i4>
      </vt:variant>
      <vt:variant>
        <vt:i4>437</vt:i4>
      </vt:variant>
      <vt:variant>
        <vt:i4>0</vt:i4>
      </vt:variant>
      <vt:variant>
        <vt:i4>5</vt:i4>
      </vt:variant>
      <vt:variant>
        <vt:lpwstr/>
      </vt:variant>
      <vt:variant>
        <vt:lpwstr>_Toc175828742</vt:lpwstr>
      </vt:variant>
      <vt:variant>
        <vt:i4>1310769</vt:i4>
      </vt:variant>
      <vt:variant>
        <vt:i4>431</vt:i4>
      </vt:variant>
      <vt:variant>
        <vt:i4>0</vt:i4>
      </vt:variant>
      <vt:variant>
        <vt:i4>5</vt:i4>
      </vt:variant>
      <vt:variant>
        <vt:lpwstr/>
      </vt:variant>
      <vt:variant>
        <vt:lpwstr>_Toc175828741</vt:lpwstr>
      </vt:variant>
      <vt:variant>
        <vt:i4>1310769</vt:i4>
      </vt:variant>
      <vt:variant>
        <vt:i4>425</vt:i4>
      </vt:variant>
      <vt:variant>
        <vt:i4>0</vt:i4>
      </vt:variant>
      <vt:variant>
        <vt:i4>5</vt:i4>
      </vt:variant>
      <vt:variant>
        <vt:lpwstr/>
      </vt:variant>
      <vt:variant>
        <vt:lpwstr>_Toc175828740</vt:lpwstr>
      </vt:variant>
      <vt:variant>
        <vt:i4>1245233</vt:i4>
      </vt:variant>
      <vt:variant>
        <vt:i4>419</vt:i4>
      </vt:variant>
      <vt:variant>
        <vt:i4>0</vt:i4>
      </vt:variant>
      <vt:variant>
        <vt:i4>5</vt:i4>
      </vt:variant>
      <vt:variant>
        <vt:lpwstr/>
      </vt:variant>
      <vt:variant>
        <vt:lpwstr>_Toc175828739</vt:lpwstr>
      </vt:variant>
      <vt:variant>
        <vt:i4>1245233</vt:i4>
      </vt:variant>
      <vt:variant>
        <vt:i4>413</vt:i4>
      </vt:variant>
      <vt:variant>
        <vt:i4>0</vt:i4>
      </vt:variant>
      <vt:variant>
        <vt:i4>5</vt:i4>
      </vt:variant>
      <vt:variant>
        <vt:lpwstr/>
      </vt:variant>
      <vt:variant>
        <vt:lpwstr>_Toc175828738</vt:lpwstr>
      </vt:variant>
      <vt:variant>
        <vt:i4>1245233</vt:i4>
      </vt:variant>
      <vt:variant>
        <vt:i4>407</vt:i4>
      </vt:variant>
      <vt:variant>
        <vt:i4>0</vt:i4>
      </vt:variant>
      <vt:variant>
        <vt:i4>5</vt:i4>
      </vt:variant>
      <vt:variant>
        <vt:lpwstr/>
      </vt:variant>
      <vt:variant>
        <vt:lpwstr>_Toc175828737</vt:lpwstr>
      </vt:variant>
      <vt:variant>
        <vt:i4>1245233</vt:i4>
      </vt:variant>
      <vt:variant>
        <vt:i4>401</vt:i4>
      </vt:variant>
      <vt:variant>
        <vt:i4>0</vt:i4>
      </vt:variant>
      <vt:variant>
        <vt:i4>5</vt:i4>
      </vt:variant>
      <vt:variant>
        <vt:lpwstr/>
      </vt:variant>
      <vt:variant>
        <vt:lpwstr>_Toc175828736</vt:lpwstr>
      </vt:variant>
      <vt:variant>
        <vt:i4>1245233</vt:i4>
      </vt:variant>
      <vt:variant>
        <vt:i4>395</vt:i4>
      </vt:variant>
      <vt:variant>
        <vt:i4>0</vt:i4>
      </vt:variant>
      <vt:variant>
        <vt:i4>5</vt:i4>
      </vt:variant>
      <vt:variant>
        <vt:lpwstr/>
      </vt:variant>
      <vt:variant>
        <vt:lpwstr>_Toc175828735</vt:lpwstr>
      </vt:variant>
      <vt:variant>
        <vt:i4>1245233</vt:i4>
      </vt:variant>
      <vt:variant>
        <vt:i4>389</vt:i4>
      </vt:variant>
      <vt:variant>
        <vt:i4>0</vt:i4>
      </vt:variant>
      <vt:variant>
        <vt:i4>5</vt:i4>
      </vt:variant>
      <vt:variant>
        <vt:lpwstr/>
      </vt:variant>
      <vt:variant>
        <vt:lpwstr>_Toc175828734</vt:lpwstr>
      </vt:variant>
      <vt:variant>
        <vt:i4>1245233</vt:i4>
      </vt:variant>
      <vt:variant>
        <vt:i4>383</vt:i4>
      </vt:variant>
      <vt:variant>
        <vt:i4>0</vt:i4>
      </vt:variant>
      <vt:variant>
        <vt:i4>5</vt:i4>
      </vt:variant>
      <vt:variant>
        <vt:lpwstr/>
      </vt:variant>
      <vt:variant>
        <vt:lpwstr>_Toc175828733</vt:lpwstr>
      </vt:variant>
      <vt:variant>
        <vt:i4>1245233</vt:i4>
      </vt:variant>
      <vt:variant>
        <vt:i4>377</vt:i4>
      </vt:variant>
      <vt:variant>
        <vt:i4>0</vt:i4>
      </vt:variant>
      <vt:variant>
        <vt:i4>5</vt:i4>
      </vt:variant>
      <vt:variant>
        <vt:lpwstr/>
      </vt:variant>
      <vt:variant>
        <vt:lpwstr>_Toc175828732</vt:lpwstr>
      </vt:variant>
      <vt:variant>
        <vt:i4>1245233</vt:i4>
      </vt:variant>
      <vt:variant>
        <vt:i4>371</vt:i4>
      </vt:variant>
      <vt:variant>
        <vt:i4>0</vt:i4>
      </vt:variant>
      <vt:variant>
        <vt:i4>5</vt:i4>
      </vt:variant>
      <vt:variant>
        <vt:lpwstr/>
      </vt:variant>
      <vt:variant>
        <vt:lpwstr>_Toc175828731</vt:lpwstr>
      </vt:variant>
      <vt:variant>
        <vt:i4>1245233</vt:i4>
      </vt:variant>
      <vt:variant>
        <vt:i4>362</vt:i4>
      </vt:variant>
      <vt:variant>
        <vt:i4>0</vt:i4>
      </vt:variant>
      <vt:variant>
        <vt:i4>5</vt:i4>
      </vt:variant>
      <vt:variant>
        <vt:lpwstr/>
      </vt:variant>
      <vt:variant>
        <vt:lpwstr>_Toc175828730</vt:lpwstr>
      </vt:variant>
      <vt:variant>
        <vt:i4>1179697</vt:i4>
      </vt:variant>
      <vt:variant>
        <vt:i4>356</vt:i4>
      </vt:variant>
      <vt:variant>
        <vt:i4>0</vt:i4>
      </vt:variant>
      <vt:variant>
        <vt:i4>5</vt:i4>
      </vt:variant>
      <vt:variant>
        <vt:lpwstr/>
      </vt:variant>
      <vt:variant>
        <vt:lpwstr>_Toc175828729</vt:lpwstr>
      </vt:variant>
      <vt:variant>
        <vt:i4>1179697</vt:i4>
      </vt:variant>
      <vt:variant>
        <vt:i4>350</vt:i4>
      </vt:variant>
      <vt:variant>
        <vt:i4>0</vt:i4>
      </vt:variant>
      <vt:variant>
        <vt:i4>5</vt:i4>
      </vt:variant>
      <vt:variant>
        <vt:lpwstr/>
      </vt:variant>
      <vt:variant>
        <vt:lpwstr>_Toc175828728</vt:lpwstr>
      </vt:variant>
      <vt:variant>
        <vt:i4>1179697</vt:i4>
      </vt:variant>
      <vt:variant>
        <vt:i4>344</vt:i4>
      </vt:variant>
      <vt:variant>
        <vt:i4>0</vt:i4>
      </vt:variant>
      <vt:variant>
        <vt:i4>5</vt:i4>
      </vt:variant>
      <vt:variant>
        <vt:lpwstr/>
      </vt:variant>
      <vt:variant>
        <vt:lpwstr>_Toc175828727</vt:lpwstr>
      </vt:variant>
      <vt:variant>
        <vt:i4>1179697</vt:i4>
      </vt:variant>
      <vt:variant>
        <vt:i4>338</vt:i4>
      </vt:variant>
      <vt:variant>
        <vt:i4>0</vt:i4>
      </vt:variant>
      <vt:variant>
        <vt:i4>5</vt:i4>
      </vt:variant>
      <vt:variant>
        <vt:lpwstr/>
      </vt:variant>
      <vt:variant>
        <vt:lpwstr>_Toc175828726</vt:lpwstr>
      </vt:variant>
      <vt:variant>
        <vt:i4>1179697</vt:i4>
      </vt:variant>
      <vt:variant>
        <vt:i4>332</vt:i4>
      </vt:variant>
      <vt:variant>
        <vt:i4>0</vt:i4>
      </vt:variant>
      <vt:variant>
        <vt:i4>5</vt:i4>
      </vt:variant>
      <vt:variant>
        <vt:lpwstr/>
      </vt:variant>
      <vt:variant>
        <vt:lpwstr>_Toc175828725</vt:lpwstr>
      </vt:variant>
      <vt:variant>
        <vt:i4>1179697</vt:i4>
      </vt:variant>
      <vt:variant>
        <vt:i4>326</vt:i4>
      </vt:variant>
      <vt:variant>
        <vt:i4>0</vt:i4>
      </vt:variant>
      <vt:variant>
        <vt:i4>5</vt:i4>
      </vt:variant>
      <vt:variant>
        <vt:lpwstr/>
      </vt:variant>
      <vt:variant>
        <vt:lpwstr>_Toc175828724</vt:lpwstr>
      </vt:variant>
      <vt:variant>
        <vt:i4>1179697</vt:i4>
      </vt:variant>
      <vt:variant>
        <vt:i4>320</vt:i4>
      </vt:variant>
      <vt:variant>
        <vt:i4>0</vt:i4>
      </vt:variant>
      <vt:variant>
        <vt:i4>5</vt:i4>
      </vt:variant>
      <vt:variant>
        <vt:lpwstr/>
      </vt:variant>
      <vt:variant>
        <vt:lpwstr>_Toc175828723</vt:lpwstr>
      </vt:variant>
      <vt:variant>
        <vt:i4>1179697</vt:i4>
      </vt:variant>
      <vt:variant>
        <vt:i4>314</vt:i4>
      </vt:variant>
      <vt:variant>
        <vt:i4>0</vt:i4>
      </vt:variant>
      <vt:variant>
        <vt:i4>5</vt:i4>
      </vt:variant>
      <vt:variant>
        <vt:lpwstr/>
      </vt:variant>
      <vt:variant>
        <vt:lpwstr>_Toc175828722</vt:lpwstr>
      </vt:variant>
      <vt:variant>
        <vt:i4>1179697</vt:i4>
      </vt:variant>
      <vt:variant>
        <vt:i4>308</vt:i4>
      </vt:variant>
      <vt:variant>
        <vt:i4>0</vt:i4>
      </vt:variant>
      <vt:variant>
        <vt:i4>5</vt:i4>
      </vt:variant>
      <vt:variant>
        <vt:lpwstr/>
      </vt:variant>
      <vt:variant>
        <vt:lpwstr>_Toc175828721</vt:lpwstr>
      </vt:variant>
      <vt:variant>
        <vt:i4>1179697</vt:i4>
      </vt:variant>
      <vt:variant>
        <vt:i4>302</vt:i4>
      </vt:variant>
      <vt:variant>
        <vt:i4>0</vt:i4>
      </vt:variant>
      <vt:variant>
        <vt:i4>5</vt:i4>
      </vt:variant>
      <vt:variant>
        <vt:lpwstr/>
      </vt:variant>
      <vt:variant>
        <vt:lpwstr>_Toc175828720</vt:lpwstr>
      </vt:variant>
      <vt:variant>
        <vt:i4>1114161</vt:i4>
      </vt:variant>
      <vt:variant>
        <vt:i4>296</vt:i4>
      </vt:variant>
      <vt:variant>
        <vt:i4>0</vt:i4>
      </vt:variant>
      <vt:variant>
        <vt:i4>5</vt:i4>
      </vt:variant>
      <vt:variant>
        <vt:lpwstr/>
      </vt:variant>
      <vt:variant>
        <vt:lpwstr>_Toc175828719</vt:lpwstr>
      </vt:variant>
      <vt:variant>
        <vt:i4>1114161</vt:i4>
      </vt:variant>
      <vt:variant>
        <vt:i4>290</vt:i4>
      </vt:variant>
      <vt:variant>
        <vt:i4>0</vt:i4>
      </vt:variant>
      <vt:variant>
        <vt:i4>5</vt:i4>
      </vt:variant>
      <vt:variant>
        <vt:lpwstr/>
      </vt:variant>
      <vt:variant>
        <vt:lpwstr>_Toc175828718</vt:lpwstr>
      </vt:variant>
      <vt:variant>
        <vt:i4>1114161</vt:i4>
      </vt:variant>
      <vt:variant>
        <vt:i4>284</vt:i4>
      </vt:variant>
      <vt:variant>
        <vt:i4>0</vt:i4>
      </vt:variant>
      <vt:variant>
        <vt:i4>5</vt:i4>
      </vt:variant>
      <vt:variant>
        <vt:lpwstr/>
      </vt:variant>
      <vt:variant>
        <vt:lpwstr>_Toc175828717</vt:lpwstr>
      </vt:variant>
      <vt:variant>
        <vt:i4>1114161</vt:i4>
      </vt:variant>
      <vt:variant>
        <vt:i4>278</vt:i4>
      </vt:variant>
      <vt:variant>
        <vt:i4>0</vt:i4>
      </vt:variant>
      <vt:variant>
        <vt:i4>5</vt:i4>
      </vt:variant>
      <vt:variant>
        <vt:lpwstr/>
      </vt:variant>
      <vt:variant>
        <vt:lpwstr>_Toc175828716</vt:lpwstr>
      </vt:variant>
      <vt:variant>
        <vt:i4>1114161</vt:i4>
      </vt:variant>
      <vt:variant>
        <vt:i4>272</vt:i4>
      </vt:variant>
      <vt:variant>
        <vt:i4>0</vt:i4>
      </vt:variant>
      <vt:variant>
        <vt:i4>5</vt:i4>
      </vt:variant>
      <vt:variant>
        <vt:lpwstr/>
      </vt:variant>
      <vt:variant>
        <vt:lpwstr>_Toc175828715</vt:lpwstr>
      </vt:variant>
      <vt:variant>
        <vt:i4>1114161</vt:i4>
      </vt:variant>
      <vt:variant>
        <vt:i4>266</vt:i4>
      </vt:variant>
      <vt:variant>
        <vt:i4>0</vt:i4>
      </vt:variant>
      <vt:variant>
        <vt:i4>5</vt:i4>
      </vt:variant>
      <vt:variant>
        <vt:lpwstr/>
      </vt:variant>
      <vt:variant>
        <vt:lpwstr>_Toc175828714</vt:lpwstr>
      </vt:variant>
      <vt:variant>
        <vt:i4>1114161</vt:i4>
      </vt:variant>
      <vt:variant>
        <vt:i4>260</vt:i4>
      </vt:variant>
      <vt:variant>
        <vt:i4>0</vt:i4>
      </vt:variant>
      <vt:variant>
        <vt:i4>5</vt:i4>
      </vt:variant>
      <vt:variant>
        <vt:lpwstr/>
      </vt:variant>
      <vt:variant>
        <vt:lpwstr>_Toc175828713</vt:lpwstr>
      </vt:variant>
      <vt:variant>
        <vt:i4>1114161</vt:i4>
      </vt:variant>
      <vt:variant>
        <vt:i4>254</vt:i4>
      </vt:variant>
      <vt:variant>
        <vt:i4>0</vt:i4>
      </vt:variant>
      <vt:variant>
        <vt:i4>5</vt:i4>
      </vt:variant>
      <vt:variant>
        <vt:lpwstr/>
      </vt:variant>
      <vt:variant>
        <vt:lpwstr>_Toc175828712</vt:lpwstr>
      </vt:variant>
      <vt:variant>
        <vt:i4>1114161</vt:i4>
      </vt:variant>
      <vt:variant>
        <vt:i4>248</vt:i4>
      </vt:variant>
      <vt:variant>
        <vt:i4>0</vt:i4>
      </vt:variant>
      <vt:variant>
        <vt:i4>5</vt:i4>
      </vt:variant>
      <vt:variant>
        <vt:lpwstr/>
      </vt:variant>
      <vt:variant>
        <vt:lpwstr>_Toc175828711</vt:lpwstr>
      </vt:variant>
      <vt:variant>
        <vt:i4>1114161</vt:i4>
      </vt:variant>
      <vt:variant>
        <vt:i4>242</vt:i4>
      </vt:variant>
      <vt:variant>
        <vt:i4>0</vt:i4>
      </vt:variant>
      <vt:variant>
        <vt:i4>5</vt:i4>
      </vt:variant>
      <vt:variant>
        <vt:lpwstr/>
      </vt:variant>
      <vt:variant>
        <vt:lpwstr>_Toc175828710</vt:lpwstr>
      </vt:variant>
      <vt:variant>
        <vt:i4>1048625</vt:i4>
      </vt:variant>
      <vt:variant>
        <vt:i4>236</vt:i4>
      </vt:variant>
      <vt:variant>
        <vt:i4>0</vt:i4>
      </vt:variant>
      <vt:variant>
        <vt:i4>5</vt:i4>
      </vt:variant>
      <vt:variant>
        <vt:lpwstr/>
      </vt:variant>
      <vt:variant>
        <vt:lpwstr>_Toc175828709</vt:lpwstr>
      </vt:variant>
      <vt:variant>
        <vt:i4>1048625</vt:i4>
      </vt:variant>
      <vt:variant>
        <vt:i4>230</vt:i4>
      </vt:variant>
      <vt:variant>
        <vt:i4>0</vt:i4>
      </vt:variant>
      <vt:variant>
        <vt:i4>5</vt:i4>
      </vt:variant>
      <vt:variant>
        <vt:lpwstr/>
      </vt:variant>
      <vt:variant>
        <vt:lpwstr>_Toc175828708</vt:lpwstr>
      </vt:variant>
      <vt:variant>
        <vt:i4>1048625</vt:i4>
      </vt:variant>
      <vt:variant>
        <vt:i4>224</vt:i4>
      </vt:variant>
      <vt:variant>
        <vt:i4>0</vt:i4>
      </vt:variant>
      <vt:variant>
        <vt:i4>5</vt:i4>
      </vt:variant>
      <vt:variant>
        <vt:lpwstr/>
      </vt:variant>
      <vt:variant>
        <vt:lpwstr>_Toc175828707</vt:lpwstr>
      </vt:variant>
      <vt:variant>
        <vt:i4>1048625</vt:i4>
      </vt:variant>
      <vt:variant>
        <vt:i4>218</vt:i4>
      </vt:variant>
      <vt:variant>
        <vt:i4>0</vt:i4>
      </vt:variant>
      <vt:variant>
        <vt:i4>5</vt:i4>
      </vt:variant>
      <vt:variant>
        <vt:lpwstr/>
      </vt:variant>
      <vt:variant>
        <vt:lpwstr>_Toc175828706</vt:lpwstr>
      </vt:variant>
      <vt:variant>
        <vt:i4>1048625</vt:i4>
      </vt:variant>
      <vt:variant>
        <vt:i4>212</vt:i4>
      </vt:variant>
      <vt:variant>
        <vt:i4>0</vt:i4>
      </vt:variant>
      <vt:variant>
        <vt:i4>5</vt:i4>
      </vt:variant>
      <vt:variant>
        <vt:lpwstr/>
      </vt:variant>
      <vt:variant>
        <vt:lpwstr>_Toc175828705</vt:lpwstr>
      </vt:variant>
      <vt:variant>
        <vt:i4>1048625</vt:i4>
      </vt:variant>
      <vt:variant>
        <vt:i4>206</vt:i4>
      </vt:variant>
      <vt:variant>
        <vt:i4>0</vt:i4>
      </vt:variant>
      <vt:variant>
        <vt:i4>5</vt:i4>
      </vt:variant>
      <vt:variant>
        <vt:lpwstr/>
      </vt:variant>
      <vt:variant>
        <vt:lpwstr>_Toc175828704</vt:lpwstr>
      </vt:variant>
      <vt:variant>
        <vt:i4>1048625</vt:i4>
      </vt:variant>
      <vt:variant>
        <vt:i4>200</vt:i4>
      </vt:variant>
      <vt:variant>
        <vt:i4>0</vt:i4>
      </vt:variant>
      <vt:variant>
        <vt:i4>5</vt:i4>
      </vt:variant>
      <vt:variant>
        <vt:lpwstr/>
      </vt:variant>
      <vt:variant>
        <vt:lpwstr>_Toc175828703</vt:lpwstr>
      </vt:variant>
      <vt:variant>
        <vt:i4>1048625</vt:i4>
      </vt:variant>
      <vt:variant>
        <vt:i4>194</vt:i4>
      </vt:variant>
      <vt:variant>
        <vt:i4>0</vt:i4>
      </vt:variant>
      <vt:variant>
        <vt:i4>5</vt:i4>
      </vt:variant>
      <vt:variant>
        <vt:lpwstr/>
      </vt:variant>
      <vt:variant>
        <vt:lpwstr>_Toc175828702</vt:lpwstr>
      </vt:variant>
      <vt:variant>
        <vt:i4>1048625</vt:i4>
      </vt:variant>
      <vt:variant>
        <vt:i4>188</vt:i4>
      </vt:variant>
      <vt:variant>
        <vt:i4>0</vt:i4>
      </vt:variant>
      <vt:variant>
        <vt:i4>5</vt:i4>
      </vt:variant>
      <vt:variant>
        <vt:lpwstr/>
      </vt:variant>
      <vt:variant>
        <vt:lpwstr>_Toc175828701</vt:lpwstr>
      </vt:variant>
      <vt:variant>
        <vt:i4>1048625</vt:i4>
      </vt:variant>
      <vt:variant>
        <vt:i4>182</vt:i4>
      </vt:variant>
      <vt:variant>
        <vt:i4>0</vt:i4>
      </vt:variant>
      <vt:variant>
        <vt:i4>5</vt:i4>
      </vt:variant>
      <vt:variant>
        <vt:lpwstr/>
      </vt:variant>
      <vt:variant>
        <vt:lpwstr>_Toc175828700</vt:lpwstr>
      </vt:variant>
      <vt:variant>
        <vt:i4>1638448</vt:i4>
      </vt:variant>
      <vt:variant>
        <vt:i4>176</vt:i4>
      </vt:variant>
      <vt:variant>
        <vt:i4>0</vt:i4>
      </vt:variant>
      <vt:variant>
        <vt:i4>5</vt:i4>
      </vt:variant>
      <vt:variant>
        <vt:lpwstr/>
      </vt:variant>
      <vt:variant>
        <vt:lpwstr>_Toc175828699</vt:lpwstr>
      </vt:variant>
      <vt:variant>
        <vt:i4>1638448</vt:i4>
      </vt:variant>
      <vt:variant>
        <vt:i4>170</vt:i4>
      </vt:variant>
      <vt:variant>
        <vt:i4>0</vt:i4>
      </vt:variant>
      <vt:variant>
        <vt:i4>5</vt:i4>
      </vt:variant>
      <vt:variant>
        <vt:lpwstr/>
      </vt:variant>
      <vt:variant>
        <vt:lpwstr>_Toc175828698</vt:lpwstr>
      </vt:variant>
      <vt:variant>
        <vt:i4>1638448</vt:i4>
      </vt:variant>
      <vt:variant>
        <vt:i4>164</vt:i4>
      </vt:variant>
      <vt:variant>
        <vt:i4>0</vt:i4>
      </vt:variant>
      <vt:variant>
        <vt:i4>5</vt:i4>
      </vt:variant>
      <vt:variant>
        <vt:lpwstr/>
      </vt:variant>
      <vt:variant>
        <vt:lpwstr>_Toc175828697</vt:lpwstr>
      </vt:variant>
      <vt:variant>
        <vt:i4>1638448</vt:i4>
      </vt:variant>
      <vt:variant>
        <vt:i4>158</vt:i4>
      </vt:variant>
      <vt:variant>
        <vt:i4>0</vt:i4>
      </vt:variant>
      <vt:variant>
        <vt:i4>5</vt:i4>
      </vt:variant>
      <vt:variant>
        <vt:lpwstr/>
      </vt:variant>
      <vt:variant>
        <vt:lpwstr>_Toc175828696</vt:lpwstr>
      </vt:variant>
      <vt:variant>
        <vt:i4>1638448</vt:i4>
      </vt:variant>
      <vt:variant>
        <vt:i4>152</vt:i4>
      </vt:variant>
      <vt:variant>
        <vt:i4>0</vt:i4>
      </vt:variant>
      <vt:variant>
        <vt:i4>5</vt:i4>
      </vt:variant>
      <vt:variant>
        <vt:lpwstr/>
      </vt:variant>
      <vt:variant>
        <vt:lpwstr>_Toc175828695</vt:lpwstr>
      </vt:variant>
      <vt:variant>
        <vt:i4>1638448</vt:i4>
      </vt:variant>
      <vt:variant>
        <vt:i4>146</vt:i4>
      </vt:variant>
      <vt:variant>
        <vt:i4>0</vt:i4>
      </vt:variant>
      <vt:variant>
        <vt:i4>5</vt:i4>
      </vt:variant>
      <vt:variant>
        <vt:lpwstr/>
      </vt:variant>
      <vt:variant>
        <vt:lpwstr>_Toc175828694</vt:lpwstr>
      </vt:variant>
      <vt:variant>
        <vt:i4>1638448</vt:i4>
      </vt:variant>
      <vt:variant>
        <vt:i4>140</vt:i4>
      </vt:variant>
      <vt:variant>
        <vt:i4>0</vt:i4>
      </vt:variant>
      <vt:variant>
        <vt:i4>5</vt:i4>
      </vt:variant>
      <vt:variant>
        <vt:lpwstr/>
      </vt:variant>
      <vt:variant>
        <vt:lpwstr>_Toc175828693</vt:lpwstr>
      </vt:variant>
      <vt:variant>
        <vt:i4>1638448</vt:i4>
      </vt:variant>
      <vt:variant>
        <vt:i4>134</vt:i4>
      </vt:variant>
      <vt:variant>
        <vt:i4>0</vt:i4>
      </vt:variant>
      <vt:variant>
        <vt:i4>5</vt:i4>
      </vt:variant>
      <vt:variant>
        <vt:lpwstr/>
      </vt:variant>
      <vt:variant>
        <vt:lpwstr>_Toc175828692</vt:lpwstr>
      </vt:variant>
      <vt:variant>
        <vt:i4>1638448</vt:i4>
      </vt:variant>
      <vt:variant>
        <vt:i4>128</vt:i4>
      </vt:variant>
      <vt:variant>
        <vt:i4>0</vt:i4>
      </vt:variant>
      <vt:variant>
        <vt:i4>5</vt:i4>
      </vt:variant>
      <vt:variant>
        <vt:lpwstr/>
      </vt:variant>
      <vt:variant>
        <vt:lpwstr>_Toc175828691</vt:lpwstr>
      </vt:variant>
      <vt:variant>
        <vt:i4>1638448</vt:i4>
      </vt:variant>
      <vt:variant>
        <vt:i4>122</vt:i4>
      </vt:variant>
      <vt:variant>
        <vt:i4>0</vt:i4>
      </vt:variant>
      <vt:variant>
        <vt:i4>5</vt:i4>
      </vt:variant>
      <vt:variant>
        <vt:lpwstr/>
      </vt:variant>
      <vt:variant>
        <vt:lpwstr>_Toc175828690</vt:lpwstr>
      </vt:variant>
      <vt:variant>
        <vt:i4>1572912</vt:i4>
      </vt:variant>
      <vt:variant>
        <vt:i4>116</vt:i4>
      </vt:variant>
      <vt:variant>
        <vt:i4>0</vt:i4>
      </vt:variant>
      <vt:variant>
        <vt:i4>5</vt:i4>
      </vt:variant>
      <vt:variant>
        <vt:lpwstr/>
      </vt:variant>
      <vt:variant>
        <vt:lpwstr>_Toc175828689</vt:lpwstr>
      </vt:variant>
      <vt:variant>
        <vt:i4>1572912</vt:i4>
      </vt:variant>
      <vt:variant>
        <vt:i4>110</vt:i4>
      </vt:variant>
      <vt:variant>
        <vt:i4>0</vt:i4>
      </vt:variant>
      <vt:variant>
        <vt:i4>5</vt:i4>
      </vt:variant>
      <vt:variant>
        <vt:lpwstr/>
      </vt:variant>
      <vt:variant>
        <vt:lpwstr>_Toc175828688</vt:lpwstr>
      </vt:variant>
      <vt:variant>
        <vt:i4>1572912</vt:i4>
      </vt:variant>
      <vt:variant>
        <vt:i4>104</vt:i4>
      </vt:variant>
      <vt:variant>
        <vt:i4>0</vt:i4>
      </vt:variant>
      <vt:variant>
        <vt:i4>5</vt:i4>
      </vt:variant>
      <vt:variant>
        <vt:lpwstr/>
      </vt:variant>
      <vt:variant>
        <vt:lpwstr>_Toc175828687</vt:lpwstr>
      </vt:variant>
      <vt:variant>
        <vt:i4>1572912</vt:i4>
      </vt:variant>
      <vt:variant>
        <vt:i4>98</vt:i4>
      </vt:variant>
      <vt:variant>
        <vt:i4>0</vt:i4>
      </vt:variant>
      <vt:variant>
        <vt:i4>5</vt:i4>
      </vt:variant>
      <vt:variant>
        <vt:lpwstr/>
      </vt:variant>
      <vt:variant>
        <vt:lpwstr>_Toc175828686</vt:lpwstr>
      </vt:variant>
      <vt:variant>
        <vt:i4>1572912</vt:i4>
      </vt:variant>
      <vt:variant>
        <vt:i4>92</vt:i4>
      </vt:variant>
      <vt:variant>
        <vt:i4>0</vt:i4>
      </vt:variant>
      <vt:variant>
        <vt:i4>5</vt:i4>
      </vt:variant>
      <vt:variant>
        <vt:lpwstr/>
      </vt:variant>
      <vt:variant>
        <vt:lpwstr>_Toc175828685</vt:lpwstr>
      </vt:variant>
      <vt:variant>
        <vt:i4>1572912</vt:i4>
      </vt:variant>
      <vt:variant>
        <vt:i4>86</vt:i4>
      </vt:variant>
      <vt:variant>
        <vt:i4>0</vt:i4>
      </vt:variant>
      <vt:variant>
        <vt:i4>5</vt:i4>
      </vt:variant>
      <vt:variant>
        <vt:lpwstr/>
      </vt:variant>
      <vt:variant>
        <vt:lpwstr>_Toc175828684</vt:lpwstr>
      </vt:variant>
      <vt:variant>
        <vt:i4>1572912</vt:i4>
      </vt:variant>
      <vt:variant>
        <vt:i4>80</vt:i4>
      </vt:variant>
      <vt:variant>
        <vt:i4>0</vt:i4>
      </vt:variant>
      <vt:variant>
        <vt:i4>5</vt:i4>
      </vt:variant>
      <vt:variant>
        <vt:lpwstr/>
      </vt:variant>
      <vt:variant>
        <vt:lpwstr>_Toc175828683</vt:lpwstr>
      </vt:variant>
      <vt:variant>
        <vt:i4>1572912</vt:i4>
      </vt:variant>
      <vt:variant>
        <vt:i4>74</vt:i4>
      </vt:variant>
      <vt:variant>
        <vt:i4>0</vt:i4>
      </vt:variant>
      <vt:variant>
        <vt:i4>5</vt:i4>
      </vt:variant>
      <vt:variant>
        <vt:lpwstr/>
      </vt:variant>
      <vt:variant>
        <vt:lpwstr>_Toc175828682</vt:lpwstr>
      </vt:variant>
      <vt:variant>
        <vt:i4>1572912</vt:i4>
      </vt:variant>
      <vt:variant>
        <vt:i4>68</vt:i4>
      </vt:variant>
      <vt:variant>
        <vt:i4>0</vt:i4>
      </vt:variant>
      <vt:variant>
        <vt:i4>5</vt:i4>
      </vt:variant>
      <vt:variant>
        <vt:lpwstr/>
      </vt:variant>
      <vt:variant>
        <vt:lpwstr>_Toc175828681</vt:lpwstr>
      </vt:variant>
      <vt:variant>
        <vt:i4>1572912</vt:i4>
      </vt:variant>
      <vt:variant>
        <vt:i4>62</vt:i4>
      </vt:variant>
      <vt:variant>
        <vt:i4>0</vt:i4>
      </vt:variant>
      <vt:variant>
        <vt:i4>5</vt:i4>
      </vt:variant>
      <vt:variant>
        <vt:lpwstr/>
      </vt:variant>
      <vt:variant>
        <vt:lpwstr>_Toc175828680</vt:lpwstr>
      </vt:variant>
      <vt:variant>
        <vt:i4>1507376</vt:i4>
      </vt:variant>
      <vt:variant>
        <vt:i4>56</vt:i4>
      </vt:variant>
      <vt:variant>
        <vt:i4>0</vt:i4>
      </vt:variant>
      <vt:variant>
        <vt:i4>5</vt:i4>
      </vt:variant>
      <vt:variant>
        <vt:lpwstr/>
      </vt:variant>
      <vt:variant>
        <vt:lpwstr>_Toc175828679</vt:lpwstr>
      </vt:variant>
      <vt:variant>
        <vt:i4>1507376</vt:i4>
      </vt:variant>
      <vt:variant>
        <vt:i4>50</vt:i4>
      </vt:variant>
      <vt:variant>
        <vt:i4>0</vt:i4>
      </vt:variant>
      <vt:variant>
        <vt:i4>5</vt:i4>
      </vt:variant>
      <vt:variant>
        <vt:lpwstr/>
      </vt:variant>
      <vt:variant>
        <vt:lpwstr>_Toc175828678</vt:lpwstr>
      </vt:variant>
      <vt:variant>
        <vt:i4>1507376</vt:i4>
      </vt:variant>
      <vt:variant>
        <vt:i4>44</vt:i4>
      </vt:variant>
      <vt:variant>
        <vt:i4>0</vt:i4>
      </vt:variant>
      <vt:variant>
        <vt:i4>5</vt:i4>
      </vt:variant>
      <vt:variant>
        <vt:lpwstr/>
      </vt:variant>
      <vt:variant>
        <vt:lpwstr>_Toc175828677</vt:lpwstr>
      </vt:variant>
      <vt:variant>
        <vt:i4>1507376</vt:i4>
      </vt:variant>
      <vt:variant>
        <vt:i4>38</vt:i4>
      </vt:variant>
      <vt:variant>
        <vt:i4>0</vt:i4>
      </vt:variant>
      <vt:variant>
        <vt:i4>5</vt:i4>
      </vt:variant>
      <vt:variant>
        <vt:lpwstr/>
      </vt:variant>
      <vt:variant>
        <vt:lpwstr>_Toc175828676</vt:lpwstr>
      </vt:variant>
      <vt:variant>
        <vt:i4>1507376</vt:i4>
      </vt:variant>
      <vt:variant>
        <vt:i4>32</vt:i4>
      </vt:variant>
      <vt:variant>
        <vt:i4>0</vt:i4>
      </vt:variant>
      <vt:variant>
        <vt:i4>5</vt:i4>
      </vt:variant>
      <vt:variant>
        <vt:lpwstr/>
      </vt:variant>
      <vt:variant>
        <vt:lpwstr>_Toc175828675</vt:lpwstr>
      </vt:variant>
      <vt:variant>
        <vt:i4>1507376</vt:i4>
      </vt:variant>
      <vt:variant>
        <vt:i4>26</vt:i4>
      </vt:variant>
      <vt:variant>
        <vt:i4>0</vt:i4>
      </vt:variant>
      <vt:variant>
        <vt:i4>5</vt:i4>
      </vt:variant>
      <vt:variant>
        <vt:lpwstr/>
      </vt:variant>
      <vt:variant>
        <vt:lpwstr>_Toc175828674</vt:lpwstr>
      </vt:variant>
      <vt:variant>
        <vt:i4>1507376</vt:i4>
      </vt:variant>
      <vt:variant>
        <vt:i4>20</vt:i4>
      </vt:variant>
      <vt:variant>
        <vt:i4>0</vt:i4>
      </vt:variant>
      <vt:variant>
        <vt:i4>5</vt:i4>
      </vt:variant>
      <vt:variant>
        <vt:lpwstr/>
      </vt:variant>
      <vt:variant>
        <vt:lpwstr>_Toc175828673</vt:lpwstr>
      </vt:variant>
      <vt:variant>
        <vt:i4>1507376</vt:i4>
      </vt:variant>
      <vt:variant>
        <vt:i4>14</vt:i4>
      </vt:variant>
      <vt:variant>
        <vt:i4>0</vt:i4>
      </vt:variant>
      <vt:variant>
        <vt:i4>5</vt:i4>
      </vt:variant>
      <vt:variant>
        <vt:lpwstr/>
      </vt:variant>
      <vt:variant>
        <vt:lpwstr>_Toc175828672</vt:lpwstr>
      </vt:variant>
      <vt:variant>
        <vt:i4>1507376</vt:i4>
      </vt:variant>
      <vt:variant>
        <vt:i4>8</vt:i4>
      </vt:variant>
      <vt:variant>
        <vt:i4>0</vt:i4>
      </vt:variant>
      <vt:variant>
        <vt:i4>5</vt:i4>
      </vt:variant>
      <vt:variant>
        <vt:lpwstr/>
      </vt:variant>
      <vt:variant>
        <vt:lpwstr>_Toc175828671</vt:lpwstr>
      </vt:variant>
      <vt:variant>
        <vt:i4>1507376</vt:i4>
      </vt:variant>
      <vt:variant>
        <vt:i4>2</vt:i4>
      </vt:variant>
      <vt:variant>
        <vt:i4>0</vt:i4>
      </vt:variant>
      <vt:variant>
        <vt:i4>5</vt:i4>
      </vt:variant>
      <vt:variant>
        <vt:lpwstr/>
      </vt:variant>
      <vt:variant>
        <vt:lpwstr>_Toc175828670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Fiskální výhled České republiky (listopad 2018)</dc:title>
  <dc:subject/>
  <dc:creator>Ministerstvo financí České republiky</dc:creator>
  <cp:keywords>fiskální politika, fiskální predikce, výhled, deficit, dluh, fiskální úsilí, fiskální impulz</cp:keywords>
  <cp:lastModifiedBy>Joujová Lucie Ing.</cp:lastModifiedBy>
  <cp:revision>2</cp:revision>
  <cp:lastPrinted>2024-08-29T14:06:00Z</cp:lastPrinted>
  <dcterms:created xsi:type="dcterms:W3CDTF">2024-08-30T10:38:00Z</dcterms:created>
  <dcterms:modified xsi:type="dcterms:W3CDTF">2024-08-30T10:38:00Z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Jazyk">
    <vt:lpwstr>český</vt:lpwstr>
  </property>
  <property fmtid="{D5CDD505-2E9C-101B-9397-08002B2CF9AE}" pid="3" name="Odkaz">
    <vt:lpwstr>http://www.mfcr.cz/fiskalnivyhled</vt:lpwstr>
  </property>
</Properties>
</file>